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29A5" w14:textId="77777777" w:rsidR="006D4899" w:rsidRDefault="00000000">
      <w:pPr>
        <w:spacing w:line="196" w:lineRule="auto"/>
        <w:ind w:firstLineChars="900" w:firstLine="1980"/>
        <w:jc w:val="right"/>
        <w:rPr>
          <w:lang w:eastAsia="zh-CN"/>
        </w:rPr>
        <w:sectPr w:rsidR="006D4899">
          <w:headerReference w:type="even" r:id="rId9"/>
          <w:headerReference w:type="default" r:id="rId10"/>
          <w:footerReference w:type="even" r:id="rId11"/>
          <w:footerReference w:type="default" r:id="rId12"/>
          <w:headerReference w:type="first" r:id="rId13"/>
          <w:footerReference w:type="first" r:id="rId14"/>
          <w:pgSz w:w="11911" w:h="16838"/>
          <w:pgMar w:top="850" w:right="663" w:bottom="1134" w:left="1417" w:header="0" w:footer="1003" w:gutter="0"/>
          <w:pgNumType w:start="1"/>
          <w:cols w:space="0"/>
          <w:titlePg/>
          <w:docGrid w:type="linesAndChars" w:linePitch="304"/>
        </w:sectPr>
      </w:pPr>
      <w:bookmarkStart w:id="0" w:name="_Toc9241292"/>
      <w:bookmarkStart w:id="1" w:name="_Toc9243842"/>
      <w:bookmarkStart w:id="2" w:name="SectionMark0"/>
      <w:bookmarkStart w:id="3" w:name="_Toc10131014"/>
      <w:r>
        <w:rPr>
          <w:noProof/>
          <w:lang w:eastAsia="zh-CN"/>
        </w:rPr>
        <mc:AlternateContent>
          <mc:Choice Requires="wps">
            <w:drawing>
              <wp:anchor distT="0" distB="0" distL="114300" distR="114300" simplePos="0" relativeHeight="251666432" behindDoc="0" locked="0" layoutInCell="1" allowOverlap="1" wp14:anchorId="1BB5EBF7" wp14:editId="2D2A2DA9">
                <wp:simplePos x="0" y="0"/>
                <wp:positionH relativeFrom="column">
                  <wp:posOffset>-46355</wp:posOffset>
                </wp:positionH>
                <wp:positionV relativeFrom="paragraph">
                  <wp:posOffset>2055495</wp:posOffset>
                </wp:positionV>
                <wp:extent cx="6121400" cy="0"/>
                <wp:effectExtent l="10795" t="7620" r="11430" b="11430"/>
                <wp:wrapNone/>
                <wp:docPr id="1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4CEDD17A" id="直接连接符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5pt,161.85pt" to="478.3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" strokeweight="1pt"/>
            </w:pict>
          </mc:Fallback>
        </mc:AlternateContent>
      </w:r>
      <w:r>
        <w:rPr>
          <w:rFonts w:ascii="Times New Roman" w:hint="eastAsia"/>
          <w:b/>
          <w:bCs/>
          <w:sz w:val="96"/>
          <w:szCs w:val="96"/>
          <w:lang w:eastAsia="zh-CN"/>
        </w:rPr>
        <w:t>DB140</w:t>
      </w:r>
      <w:r>
        <w:rPr>
          <w:noProof/>
          <w:lang w:eastAsia="zh-CN"/>
        </w:rPr>
        <mc:AlternateContent>
          <mc:Choice Requires="wps">
            <w:drawing>
              <wp:anchor distT="0" distB="0" distL="114300" distR="114300" simplePos="0" relativeHeight="251667456" behindDoc="0" locked="0" layoutInCell="1" allowOverlap="1" wp14:anchorId="46267872" wp14:editId="4CE79544">
                <wp:simplePos x="0" y="0"/>
                <wp:positionH relativeFrom="column">
                  <wp:posOffset>0</wp:posOffset>
                </wp:positionH>
                <wp:positionV relativeFrom="paragraph">
                  <wp:posOffset>8883650</wp:posOffset>
                </wp:positionV>
                <wp:extent cx="6121400" cy="0"/>
                <wp:effectExtent l="9525" t="6350" r="12700" b="12700"/>
                <wp:wrapNone/>
                <wp:docPr id="15"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5C8DE5A9" id="直接连接符 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699.5pt" to="482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" strokeweight="1pt"/>
            </w:pict>
          </mc:Fallback>
        </mc:AlternateContent>
      </w:r>
      <w:r>
        <w:rPr>
          <w:noProof/>
          <w:lang w:eastAsia="zh-CN"/>
        </w:rPr>
        <mc:AlternateContent>
          <mc:Choice Requires="wps">
            <w:drawing>
              <wp:anchor distT="0" distB="0" distL="114300" distR="114300" simplePos="0" relativeHeight="251665408" behindDoc="0" locked="1" layoutInCell="1" allowOverlap="1" wp14:anchorId="6B562219" wp14:editId="62671576">
                <wp:simplePos x="0" y="0"/>
                <wp:positionH relativeFrom="margin">
                  <wp:posOffset>0</wp:posOffset>
                </wp:positionH>
                <wp:positionV relativeFrom="margin">
                  <wp:posOffset>9108440</wp:posOffset>
                </wp:positionV>
                <wp:extent cx="6120130" cy="36322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4D24516E" w14:textId="77777777" w:rsidR="006D4899" w:rsidRDefault="00000000">
                            <w:pPr>
                              <w:pStyle w:val="af4"/>
                            </w:pPr>
                            <w:r>
                              <w:rPr>
                                <w:rFonts w:asciiTheme="majorEastAsia" w:eastAsiaTheme="majorEastAsia" w:hAnsiTheme="majorEastAsia" w:cstheme="majorEastAsia" w:hint="eastAsia"/>
                                <w:b/>
                                <w:bCs/>
                                <w:sz w:val="36"/>
                                <w:szCs w:val="36"/>
                              </w:rPr>
                              <w:t>忻州市市场监督管理局</w:t>
                            </w:r>
                            <w:r>
                              <w:rPr>
                                <w:rStyle w:val="af6"/>
                                <w:rFonts w:hint="eastAsia"/>
                              </w:rPr>
                              <w:t xml:space="preserve"> </w:t>
                            </w:r>
                            <w:r>
                              <w:rPr>
                                <w:rStyle w:val="af6"/>
                                <w:rFonts w:hint="eastAsia"/>
                                <w:sz w:val="32"/>
                                <w:szCs w:val="32"/>
                              </w:rPr>
                              <w:t>发布</w:t>
                            </w:r>
                          </w:p>
                        </w:txbxContent>
                      </wps:txbx>
                      <wps:bodyPr wrap="square" lIns="0" tIns="0" rIns="0" bIns="0" upright="1"/>
                    </wps:wsp>
                  </a:graphicData>
                </a:graphic>
              </wp:anchor>
            </w:drawing>
          </mc:Choice>
          <mc:Fallback>
            <w:pict>
              <v:shapetype w14:anchorId="6B562219" id="_x0000_t202" coordsize="21600,21600" o:spt="202" path="m,l,21600r21600,l21600,xe">
                <v:stroke joinstyle="miter"/>
                <v:path gradientshapeok="t" o:connecttype="rect"/>
              </v:shapetype>
              <v:shape id="文本框 3" o:spid="_x0000_s1026" type="#_x0000_t202" style="position:absolute;left:0;text-align:left;margin-left:0;margin-top:717.2pt;width:481.9pt;height:28.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" stroked="f">
                <v:textbox inset="0,0,0,0">
                  <w:txbxContent>
                    <w:p w14:paraId="4D24516E" w14:textId="77777777" w:rsidR="006D4899" w:rsidRDefault="00000000">
                      <w:pPr>
                        <w:pStyle w:val="af4"/>
                      </w:pPr>
                      <w:r>
                        <w:rPr>
                          <w:rFonts w:asciiTheme="majorEastAsia" w:eastAsiaTheme="majorEastAsia" w:hAnsiTheme="majorEastAsia" w:cstheme="majorEastAsia" w:hint="eastAsia"/>
                          <w:b/>
                          <w:bCs/>
                          <w:sz w:val="36"/>
                          <w:szCs w:val="36"/>
                        </w:rPr>
                        <w:t>忻州市市场监督管理局</w:t>
                      </w:r>
                      <w:r>
                        <w:rPr>
                          <w:rStyle w:val="af6"/>
                          <w:rFonts w:hint="eastAsia"/>
                        </w:rPr>
                        <w:t xml:space="preserve"> </w:t>
                      </w:r>
                      <w:r>
                        <w:rPr>
                          <w:rStyle w:val="af6"/>
                          <w:rFonts w:hint="eastAsia"/>
                          <w:sz w:val="32"/>
                          <w:szCs w:val="32"/>
                        </w:rPr>
                        <w:t>发布</w:t>
                      </w: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64384" behindDoc="0" locked="1" layoutInCell="1" allowOverlap="1" wp14:anchorId="27AF3DCA" wp14:editId="08E233C5">
                <wp:simplePos x="0" y="0"/>
                <wp:positionH relativeFrom="margin">
                  <wp:posOffset>4100830</wp:posOffset>
                </wp:positionH>
                <wp:positionV relativeFrom="margin">
                  <wp:posOffset>8563610</wp:posOffset>
                </wp:positionV>
                <wp:extent cx="2019300" cy="31242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21AAAE29" w14:textId="77777777" w:rsidR="006D4899" w:rsidRDefault="00000000">
                            <w:pPr>
                              <w:pStyle w:val="af7"/>
                              <w:rPr>
                                <w:rFonts w:ascii="黑体" w:hAnsi="黑体"/>
                              </w:rPr>
                            </w:pPr>
                            <w:r>
                              <w:rPr>
                                <w:rFonts w:ascii="黑体" w:hAnsi="黑体" w:hint="eastAsia"/>
                              </w:rPr>
                              <w:t>202X-XX-XX</w:t>
                            </w:r>
                            <w:r>
                              <w:rPr>
                                <w:rFonts w:ascii="黑体" w:hAnsi="黑体" w:hint="eastAsia"/>
                              </w:rPr>
                              <w:t>实施</w:t>
                            </w:r>
                          </w:p>
                        </w:txbxContent>
                      </wps:txbx>
                      <wps:bodyPr wrap="square" lIns="0" tIns="0" rIns="0" bIns="0" upright="1"/>
                    </wps:wsp>
                  </a:graphicData>
                </a:graphic>
              </wp:anchor>
            </w:drawing>
          </mc:Choice>
          <mc:Fallback>
            <w:pict>
              <v:shape w14:anchorId="27AF3DCA" id="文本框 4"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" stroked="f">
                <v:textbox inset="0,0,0,0">
                  <w:txbxContent>
                    <w:p w14:paraId="21AAAE29" w14:textId="77777777" w:rsidR="006D4899" w:rsidRDefault="00000000">
                      <w:pPr>
                        <w:pStyle w:val="af7"/>
                        <w:rPr>
                          <w:rFonts w:ascii="黑体" w:hAnsi="黑体"/>
                        </w:rPr>
                      </w:pPr>
                      <w:r>
                        <w:rPr>
                          <w:rFonts w:ascii="黑体" w:hAnsi="黑体" w:hint="eastAsia"/>
                        </w:rPr>
                        <w:t>202X-XX-XX</w:t>
                      </w:r>
                      <w:r>
                        <w:rPr>
                          <w:rFonts w:ascii="黑体" w:hAnsi="黑体" w:hint="eastAsia"/>
                        </w:rPr>
                        <w:t>实施</w:t>
                      </w: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63360" behindDoc="0" locked="1" layoutInCell="1" allowOverlap="1" wp14:anchorId="68E8C7AF" wp14:editId="45416A7A">
                <wp:simplePos x="0" y="0"/>
                <wp:positionH relativeFrom="margin">
                  <wp:posOffset>0</wp:posOffset>
                </wp:positionH>
                <wp:positionV relativeFrom="margin">
                  <wp:posOffset>8563610</wp:posOffset>
                </wp:positionV>
                <wp:extent cx="2019300" cy="31242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04A97414" w14:textId="77777777" w:rsidR="006D4899" w:rsidRDefault="00000000">
                            <w:pPr>
                              <w:pStyle w:val="af8"/>
                              <w:rPr>
                                <w:rFonts w:ascii="黑体" w:hAnsi="黑体"/>
                              </w:rPr>
                            </w:pPr>
                            <w:r>
                              <w:rPr>
                                <w:rFonts w:ascii="黑体" w:hAnsi="黑体" w:hint="eastAsia"/>
                              </w:rPr>
                              <w:t>202X-XX-XX</w:t>
                            </w:r>
                            <w:r>
                              <w:rPr>
                                <w:rFonts w:ascii="黑体" w:hAnsi="黑体" w:hint="eastAsia"/>
                              </w:rPr>
                              <w:t>发布</w:t>
                            </w:r>
                          </w:p>
                        </w:txbxContent>
                      </wps:txbx>
                      <wps:bodyPr wrap="square" lIns="0" tIns="0" rIns="0" bIns="0" upright="1"/>
                    </wps:wsp>
                  </a:graphicData>
                </a:graphic>
              </wp:anchor>
            </w:drawing>
          </mc:Choice>
          <mc:Fallback>
            <w:pict>
              <v:shape w14:anchorId="68E8C7AF" id="文本框 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" stroked="f">
                <v:textbox inset="0,0,0,0">
                  <w:txbxContent>
                    <w:p w14:paraId="04A97414" w14:textId="77777777" w:rsidR="006D4899" w:rsidRDefault="00000000">
                      <w:pPr>
                        <w:pStyle w:val="af8"/>
                        <w:rPr>
                          <w:rFonts w:ascii="黑体" w:hAnsi="黑体"/>
                        </w:rPr>
                      </w:pPr>
                      <w:r>
                        <w:rPr>
                          <w:rFonts w:ascii="黑体" w:hAnsi="黑体" w:hint="eastAsia"/>
                        </w:rPr>
                        <w:t>202X-XX-XX</w:t>
                      </w:r>
                      <w:r>
                        <w:rPr>
                          <w:rFonts w:ascii="黑体" w:hAnsi="黑体" w:hint="eastAsia"/>
                        </w:rPr>
                        <w:t>发布</w:t>
                      </w: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62336" behindDoc="0" locked="1" layoutInCell="1" allowOverlap="1" wp14:anchorId="799EA55B" wp14:editId="563A887F">
                <wp:simplePos x="0" y="0"/>
                <wp:positionH relativeFrom="margin">
                  <wp:posOffset>-200025</wp:posOffset>
                </wp:positionH>
                <wp:positionV relativeFrom="margin">
                  <wp:posOffset>3635375</wp:posOffset>
                </wp:positionV>
                <wp:extent cx="6467475" cy="4681220"/>
                <wp:effectExtent l="0" t="0" r="9525" b="5080"/>
                <wp:wrapNone/>
                <wp:docPr id="9" name="文本框 6"/>
                <wp:cNvGraphicFramePr/>
                <a:graphic xmlns:a="http://schemas.openxmlformats.org/drawingml/2006/main">
                  <a:graphicData uri="http://schemas.microsoft.com/office/word/2010/wordprocessingShape">
                    <wps:wsp>
                      <wps:cNvSpPr txBox="1"/>
                      <wps:spPr>
                        <a:xfrm>
                          <a:off x="0" y="0"/>
                          <a:ext cx="6467475" cy="4681220"/>
                        </a:xfrm>
                        <a:prstGeom prst="rect">
                          <a:avLst/>
                        </a:prstGeom>
                        <a:solidFill>
                          <a:srgbClr val="FFFFFF"/>
                        </a:solidFill>
                        <a:ln>
                          <a:noFill/>
                        </a:ln>
                      </wps:spPr>
                      <wps:txbx>
                        <w:txbxContent>
                          <w:p w14:paraId="142146E3" w14:textId="77777777" w:rsidR="006D4899" w:rsidRDefault="00000000">
                            <w:pPr>
                              <w:spacing w:line="599" w:lineRule="exact"/>
                              <w:ind w:right="600"/>
                              <w:jc w:val="center"/>
                              <w:rPr>
                                <w:rFonts w:ascii="黑体" w:eastAsia="黑体" w:hAnsi="黑体" w:cs="黑体"/>
                                <w:sz w:val="52"/>
                                <w:szCs w:val="52"/>
                                <w:lang w:eastAsia="zh-CN"/>
                              </w:rPr>
                            </w:pPr>
                            <w:r>
                              <w:rPr>
                                <w:rFonts w:ascii="黑体" w:eastAsia="黑体" w:hAnsi="黑体" w:cs="黑体" w:hint="eastAsia"/>
                                <w:sz w:val="52"/>
                                <w:szCs w:val="52"/>
                                <w:lang w:eastAsia="zh-CN"/>
                              </w:rPr>
                              <w:t>PCR</w:t>
                            </w:r>
                            <w:r>
                              <w:rPr>
                                <w:rFonts w:ascii="黑体" w:eastAsia="黑体" w:hAnsi="黑体" w:cs="黑体" w:hint="eastAsia"/>
                                <w:sz w:val="52"/>
                                <w:szCs w:val="52"/>
                                <w:lang w:eastAsia="zh-CN"/>
                              </w:rPr>
                              <w:t>实验室医疗废弃物处置规程</w:t>
                            </w:r>
                          </w:p>
                          <w:p w14:paraId="5BA93885" w14:textId="77777777" w:rsidR="006D4899" w:rsidRDefault="006D4899">
                            <w:pPr>
                              <w:spacing w:line="200" w:lineRule="exact"/>
                              <w:rPr>
                                <w:lang w:eastAsia="zh-CN"/>
                              </w:rPr>
                            </w:pPr>
                          </w:p>
                          <w:p w14:paraId="05EA4027" w14:textId="77777777" w:rsidR="006D4899" w:rsidRDefault="006D4899">
                            <w:pPr>
                              <w:spacing w:line="200" w:lineRule="exact"/>
                              <w:rPr>
                                <w:lang w:eastAsia="zh-CN"/>
                              </w:rPr>
                            </w:pPr>
                          </w:p>
                          <w:p w14:paraId="06ABD8FC" w14:textId="77777777" w:rsidR="006D4899" w:rsidRDefault="006D4899">
                            <w:pPr>
                              <w:spacing w:line="200" w:lineRule="exact"/>
                              <w:rPr>
                                <w:lang w:eastAsia="zh-CN"/>
                              </w:rPr>
                            </w:pPr>
                          </w:p>
                          <w:p w14:paraId="09AFF399" w14:textId="77777777" w:rsidR="006D4899" w:rsidRDefault="006D4899">
                            <w:pPr>
                              <w:spacing w:line="200" w:lineRule="exact"/>
                              <w:rPr>
                                <w:lang w:eastAsia="zh-CN"/>
                              </w:rPr>
                            </w:pPr>
                          </w:p>
                          <w:p w14:paraId="3E20E2F7" w14:textId="77777777" w:rsidR="006D4899" w:rsidRDefault="006D4899">
                            <w:pPr>
                              <w:spacing w:line="200" w:lineRule="exact"/>
                              <w:rPr>
                                <w:lang w:eastAsia="zh-CN"/>
                              </w:rPr>
                            </w:pPr>
                          </w:p>
                          <w:p w14:paraId="0EAFE1EB" w14:textId="77777777" w:rsidR="006D4899" w:rsidRDefault="006D4899">
                            <w:pPr>
                              <w:spacing w:line="200" w:lineRule="exact"/>
                              <w:rPr>
                                <w:lang w:eastAsia="zh-CN"/>
                              </w:rPr>
                            </w:pPr>
                          </w:p>
                          <w:p w14:paraId="0C7AB317" w14:textId="77777777" w:rsidR="006D4899" w:rsidRDefault="006D4899">
                            <w:pPr>
                              <w:spacing w:line="393" w:lineRule="exact"/>
                              <w:rPr>
                                <w:lang w:eastAsia="zh-CN"/>
                              </w:rPr>
                            </w:pPr>
                          </w:p>
                          <w:p w14:paraId="5A352E1B" w14:textId="33221E5C" w:rsidR="006D4899" w:rsidRDefault="00000000">
                            <w:pPr>
                              <w:spacing w:line="320" w:lineRule="exact"/>
                              <w:jc w:val="center"/>
                              <w:rPr>
                                <w:sz w:val="20"/>
                                <w:szCs w:val="20"/>
                              </w:rPr>
                            </w:pPr>
                            <w:r>
                              <w:rPr>
                                <w:sz w:val="28"/>
                                <w:szCs w:val="28"/>
                              </w:rPr>
                              <w:t>（</w:t>
                            </w:r>
                            <w:r w:rsidR="00CD64D3">
                              <w:rPr>
                                <w:rFonts w:hint="eastAsia"/>
                                <w:sz w:val="28"/>
                                <w:szCs w:val="28"/>
                                <w:lang w:eastAsia="zh-CN"/>
                              </w:rPr>
                              <w:t>征求意见稿</w:t>
                            </w:r>
                            <w:r>
                              <w:rPr>
                                <w:sz w:val="28"/>
                                <w:szCs w:val="28"/>
                              </w:rPr>
                              <w:t>）</w:t>
                            </w:r>
                          </w:p>
                          <w:p w14:paraId="453696DA" w14:textId="77777777" w:rsidR="006D4899" w:rsidRDefault="006D4899">
                            <w:pPr>
                              <w:pStyle w:val="afc"/>
                            </w:pPr>
                          </w:p>
                        </w:txbxContent>
                      </wps:txbx>
                      <wps:bodyPr lIns="0" tIns="0" rIns="0" bIns="0" upright="1"/>
                    </wps:wsp>
                  </a:graphicData>
                </a:graphic>
              </wp:anchor>
            </w:drawing>
          </mc:Choice>
          <mc:Fallback>
            <w:pict>
              <v:shape w14:anchorId="799EA55B" id="文本框 6" o:spid="_x0000_s1029" type="#_x0000_t202" style="position:absolute;left:0;text-align:left;margin-left:-15.75pt;margin-top:286.25pt;width:509.25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" stroked="f">
                <v:textbox inset="0,0,0,0">
                  <w:txbxContent>
                    <w:p w14:paraId="142146E3" w14:textId="77777777" w:rsidR="006D4899" w:rsidRDefault="00000000">
                      <w:pPr>
                        <w:spacing w:line="599" w:lineRule="exact"/>
                        <w:ind w:right="600"/>
                        <w:jc w:val="center"/>
                        <w:rPr>
                          <w:rFonts w:ascii="黑体" w:eastAsia="黑体" w:hAnsi="黑体" w:cs="黑体"/>
                          <w:sz w:val="52"/>
                          <w:szCs w:val="52"/>
                          <w:lang w:eastAsia="zh-CN"/>
                        </w:rPr>
                      </w:pPr>
                      <w:r>
                        <w:rPr>
                          <w:rFonts w:ascii="黑体" w:eastAsia="黑体" w:hAnsi="黑体" w:cs="黑体" w:hint="eastAsia"/>
                          <w:sz w:val="52"/>
                          <w:szCs w:val="52"/>
                          <w:lang w:eastAsia="zh-CN"/>
                        </w:rPr>
                        <w:t>PCR</w:t>
                      </w:r>
                      <w:r>
                        <w:rPr>
                          <w:rFonts w:ascii="黑体" w:eastAsia="黑体" w:hAnsi="黑体" w:cs="黑体" w:hint="eastAsia"/>
                          <w:sz w:val="52"/>
                          <w:szCs w:val="52"/>
                          <w:lang w:eastAsia="zh-CN"/>
                        </w:rPr>
                        <w:t>实验室医疗废弃物处置规程</w:t>
                      </w:r>
                    </w:p>
                    <w:p w14:paraId="5BA93885" w14:textId="77777777" w:rsidR="006D4899" w:rsidRDefault="006D4899">
                      <w:pPr>
                        <w:spacing w:line="200" w:lineRule="exact"/>
                        <w:rPr>
                          <w:lang w:eastAsia="zh-CN"/>
                        </w:rPr>
                      </w:pPr>
                    </w:p>
                    <w:p w14:paraId="05EA4027" w14:textId="77777777" w:rsidR="006D4899" w:rsidRDefault="006D4899">
                      <w:pPr>
                        <w:spacing w:line="200" w:lineRule="exact"/>
                        <w:rPr>
                          <w:lang w:eastAsia="zh-CN"/>
                        </w:rPr>
                      </w:pPr>
                    </w:p>
                    <w:p w14:paraId="06ABD8FC" w14:textId="77777777" w:rsidR="006D4899" w:rsidRDefault="006D4899">
                      <w:pPr>
                        <w:spacing w:line="200" w:lineRule="exact"/>
                        <w:rPr>
                          <w:lang w:eastAsia="zh-CN"/>
                        </w:rPr>
                      </w:pPr>
                    </w:p>
                    <w:p w14:paraId="09AFF399" w14:textId="77777777" w:rsidR="006D4899" w:rsidRDefault="006D4899">
                      <w:pPr>
                        <w:spacing w:line="200" w:lineRule="exact"/>
                        <w:rPr>
                          <w:lang w:eastAsia="zh-CN"/>
                        </w:rPr>
                      </w:pPr>
                    </w:p>
                    <w:p w14:paraId="3E20E2F7" w14:textId="77777777" w:rsidR="006D4899" w:rsidRDefault="006D4899">
                      <w:pPr>
                        <w:spacing w:line="200" w:lineRule="exact"/>
                        <w:rPr>
                          <w:lang w:eastAsia="zh-CN"/>
                        </w:rPr>
                      </w:pPr>
                    </w:p>
                    <w:p w14:paraId="0EAFE1EB" w14:textId="77777777" w:rsidR="006D4899" w:rsidRDefault="006D4899">
                      <w:pPr>
                        <w:spacing w:line="200" w:lineRule="exact"/>
                        <w:rPr>
                          <w:lang w:eastAsia="zh-CN"/>
                        </w:rPr>
                      </w:pPr>
                    </w:p>
                    <w:p w14:paraId="0C7AB317" w14:textId="77777777" w:rsidR="006D4899" w:rsidRDefault="006D4899">
                      <w:pPr>
                        <w:spacing w:line="393" w:lineRule="exact"/>
                        <w:rPr>
                          <w:lang w:eastAsia="zh-CN"/>
                        </w:rPr>
                      </w:pPr>
                    </w:p>
                    <w:p w14:paraId="5A352E1B" w14:textId="33221E5C" w:rsidR="006D4899" w:rsidRDefault="00000000">
                      <w:pPr>
                        <w:spacing w:line="320" w:lineRule="exact"/>
                        <w:jc w:val="center"/>
                        <w:rPr>
                          <w:sz w:val="20"/>
                          <w:szCs w:val="20"/>
                        </w:rPr>
                      </w:pPr>
                      <w:r>
                        <w:rPr>
                          <w:sz w:val="28"/>
                          <w:szCs w:val="28"/>
                        </w:rPr>
                        <w:t>（</w:t>
                      </w:r>
                      <w:r w:rsidR="00CD64D3">
                        <w:rPr>
                          <w:rFonts w:hint="eastAsia"/>
                          <w:sz w:val="28"/>
                          <w:szCs w:val="28"/>
                          <w:lang w:eastAsia="zh-CN"/>
                        </w:rPr>
                        <w:t>征求意见稿</w:t>
                      </w:r>
                      <w:r>
                        <w:rPr>
                          <w:sz w:val="28"/>
                          <w:szCs w:val="28"/>
                        </w:rPr>
                        <w:t>）</w:t>
                      </w:r>
                    </w:p>
                    <w:p w14:paraId="453696DA" w14:textId="77777777" w:rsidR="006D4899" w:rsidRDefault="006D4899">
                      <w:pPr>
                        <w:pStyle w:val="afc"/>
                      </w:pP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61312" behindDoc="0" locked="1" layoutInCell="1" allowOverlap="1" wp14:anchorId="1E935478" wp14:editId="151C3B64">
                <wp:simplePos x="0" y="0"/>
                <wp:positionH relativeFrom="margin">
                  <wp:posOffset>21590</wp:posOffset>
                </wp:positionH>
                <wp:positionV relativeFrom="margin">
                  <wp:posOffset>1464310</wp:posOffset>
                </wp:positionV>
                <wp:extent cx="5897245" cy="528955"/>
                <wp:effectExtent l="0" t="0" r="8255" b="4445"/>
                <wp:wrapNone/>
                <wp:docPr id="8" name="文本框 7"/>
                <wp:cNvGraphicFramePr/>
                <a:graphic xmlns:a="http://schemas.openxmlformats.org/drawingml/2006/main">
                  <a:graphicData uri="http://schemas.microsoft.com/office/word/2010/wordprocessingShape">
                    <wps:wsp>
                      <wps:cNvSpPr txBox="1"/>
                      <wps:spPr>
                        <a:xfrm>
                          <a:off x="0" y="0"/>
                          <a:ext cx="5897245" cy="528955"/>
                        </a:xfrm>
                        <a:prstGeom prst="rect">
                          <a:avLst/>
                        </a:prstGeom>
                        <a:solidFill>
                          <a:srgbClr val="FFFFFF"/>
                        </a:solidFill>
                        <a:ln>
                          <a:noFill/>
                        </a:ln>
                      </wps:spPr>
                      <wps:txbx>
                        <w:txbxContent>
                          <w:p w14:paraId="4BDDD735" w14:textId="77777777" w:rsidR="006D4899" w:rsidRDefault="00000000">
                            <w:pPr>
                              <w:pStyle w:val="10"/>
                              <w:wordWrap w:val="0"/>
                              <w:rPr>
                                <w:rFonts w:ascii="黑体" w:eastAsia="黑体" w:hAnsi="黑体" w:cs="黑体"/>
                              </w:rPr>
                            </w:pPr>
                            <w:r>
                              <w:rPr>
                                <w:rFonts w:ascii="黑体" w:eastAsia="黑体" w:hAnsi="黑体" w:cs="黑体" w:hint="eastAsia"/>
                              </w:rPr>
                              <w:t>DB1409/T XXXX</w:t>
                            </w:r>
                            <w:r>
                              <w:rPr>
                                <w:rFonts w:ascii="黑体" w:eastAsia="黑体" w:hAnsi="黑体" w:cs="黑体" w:hint="eastAsia"/>
                              </w:rPr>
                              <w:t>—202X</w:t>
                            </w:r>
                          </w:p>
                        </w:txbxContent>
                      </wps:txbx>
                      <wps:bodyPr lIns="0" tIns="0" rIns="0" bIns="0" upright="1"/>
                    </wps:wsp>
                  </a:graphicData>
                </a:graphic>
              </wp:anchor>
            </w:drawing>
          </mc:Choice>
          <mc:Fallback>
            <w:pict>
              <v:shape w14:anchorId="1E935478" id="文本框 7" o:spid="_x0000_s1030" type="#_x0000_t202" style="position:absolute;left:0;text-align:left;margin-left:1.7pt;margin-top:115.3pt;width:464.35pt;height:41.6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" stroked="f">
                <v:textbox inset="0,0,0,0">
                  <w:txbxContent>
                    <w:p w14:paraId="4BDDD735" w14:textId="77777777" w:rsidR="006D4899" w:rsidRDefault="00000000">
                      <w:pPr>
                        <w:pStyle w:val="10"/>
                        <w:wordWrap w:val="0"/>
                        <w:rPr>
                          <w:rFonts w:ascii="黑体" w:eastAsia="黑体" w:hAnsi="黑体" w:cs="黑体"/>
                        </w:rPr>
                      </w:pPr>
                      <w:r>
                        <w:rPr>
                          <w:rFonts w:ascii="黑体" w:eastAsia="黑体" w:hAnsi="黑体" w:cs="黑体" w:hint="eastAsia"/>
                        </w:rPr>
                        <w:t>DB1409/T XXXX</w:t>
                      </w:r>
                      <w:r>
                        <w:rPr>
                          <w:rFonts w:ascii="黑体" w:eastAsia="黑体" w:hAnsi="黑体" w:cs="黑体" w:hint="eastAsia"/>
                        </w:rPr>
                        <w:t>—202X</w:t>
                      </w: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60288" behindDoc="0" locked="1" layoutInCell="1" allowOverlap="1" wp14:anchorId="771F1CDA" wp14:editId="7FA2D9DE">
                <wp:simplePos x="0" y="0"/>
                <wp:positionH relativeFrom="margin">
                  <wp:posOffset>0</wp:posOffset>
                </wp:positionH>
                <wp:positionV relativeFrom="margin">
                  <wp:posOffset>1010920</wp:posOffset>
                </wp:positionV>
                <wp:extent cx="6044565" cy="391160"/>
                <wp:effectExtent l="0" t="0" r="0" b="8890"/>
                <wp:wrapNone/>
                <wp:docPr id="12" name="文本框 12"/>
                <wp:cNvGraphicFramePr/>
                <a:graphic xmlns:a="http://schemas.openxmlformats.org/drawingml/2006/main">
                  <a:graphicData uri="http://schemas.microsoft.com/office/word/2010/wordprocessingShape">
                    <wps:wsp>
                      <wps:cNvSpPr txBox="1"/>
                      <wps:spPr>
                        <a:xfrm>
                          <a:off x="0" y="0"/>
                          <a:ext cx="6044565" cy="391160"/>
                        </a:xfrm>
                        <a:prstGeom prst="rect">
                          <a:avLst/>
                        </a:prstGeom>
                        <a:solidFill>
                          <a:srgbClr val="FFFFFF"/>
                        </a:solidFill>
                        <a:ln>
                          <a:noFill/>
                        </a:ln>
                      </wps:spPr>
                      <wps:txbx>
                        <w:txbxContent>
                          <w:p w14:paraId="4A13539B" w14:textId="77777777" w:rsidR="006D4899" w:rsidRDefault="00000000">
                            <w:pPr>
                              <w:pStyle w:val="aff"/>
                            </w:pPr>
                            <w:r>
                              <w:rPr>
                                <w:rFonts w:hint="eastAsia"/>
                              </w:rPr>
                              <w:t>忻州市地方标准</w:t>
                            </w:r>
                          </w:p>
                        </w:txbxContent>
                      </wps:txbx>
                      <wps:bodyPr wrap="square" lIns="0" tIns="0" rIns="0" bIns="0" upright="1"/>
                    </wps:wsp>
                  </a:graphicData>
                </a:graphic>
              </wp:anchor>
            </w:drawing>
          </mc:Choice>
          <mc:Fallback>
            <w:pict>
              <v:shape w14:anchorId="771F1CDA" id="文本框 12" o:spid="_x0000_s1031" type="#_x0000_t202" style="position:absolute;left:0;text-align:left;margin-left:0;margin-top:79.6pt;width:475.95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" stroked="f">
                <v:textbox inset="0,0,0,0">
                  <w:txbxContent>
                    <w:p w14:paraId="4A13539B" w14:textId="77777777" w:rsidR="006D4899" w:rsidRDefault="00000000">
                      <w:pPr>
                        <w:pStyle w:val="aff"/>
                      </w:pPr>
                      <w:r>
                        <w:rPr>
                          <w:rFonts w:hint="eastAsia"/>
                        </w:rPr>
                        <w:t>忻州市地方标准</w:t>
                      </w:r>
                    </w:p>
                  </w:txbxContent>
                </v:textbox>
                <w10:wrap anchorx="margin" anchory="margin"/>
                <w10:anchorlock/>
              </v:shape>
            </w:pict>
          </mc:Fallback>
        </mc:AlternateContent>
      </w:r>
      <w:r>
        <w:rPr>
          <w:noProof/>
          <w:lang w:eastAsia="zh-CN"/>
        </w:rPr>
        <mc:AlternateContent>
          <mc:Choice Requires="wps">
            <w:drawing>
              <wp:anchor distT="0" distB="0" distL="114300" distR="114300" simplePos="0" relativeHeight="251659264" behindDoc="0" locked="1" layoutInCell="1" allowOverlap="1" wp14:anchorId="258D1176" wp14:editId="2FE3A06E">
                <wp:simplePos x="0" y="0"/>
                <wp:positionH relativeFrom="margin">
                  <wp:posOffset>0</wp:posOffset>
                </wp:positionH>
                <wp:positionV relativeFrom="margin">
                  <wp:posOffset>0</wp:posOffset>
                </wp:positionV>
                <wp:extent cx="883285" cy="657860"/>
                <wp:effectExtent l="0" t="0" r="0" b="8890"/>
                <wp:wrapNone/>
                <wp:docPr id="14" name="文本框 14"/>
                <wp:cNvGraphicFramePr/>
                <a:graphic xmlns:a="http://schemas.openxmlformats.org/drawingml/2006/main">
                  <a:graphicData uri="http://schemas.microsoft.com/office/word/2010/wordprocessingShape">
                    <wps:wsp>
                      <wps:cNvSpPr txBox="1"/>
                      <wps:spPr>
                        <a:xfrm>
                          <a:off x="0" y="0"/>
                          <a:ext cx="883285" cy="657860"/>
                        </a:xfrm>
                        <a:prstGeom prst="rect">
                          <a:avLst/>
                        </a:prstGeom>
                        <a:solidFill>
                          <a:srgbClr val="FFFFFF"/>
                        </a:solidFill>
                        <a:ln>
                          <a:noFill/>
                        </a:ln>
                      </wps:spPr>
                      <wps:txbx>
                        <w:txbxContent>
                          <w:p w14:paraId="2CAD1193" w14:textId="77777777" w:rsidR="006D4899" w:rsidRDefault="00000000">
                            <w:pPr>
                              <w:pStyle w:val="aff0"/>
                            </w:pPr>
                            <w:r>
                              <w:rPr>
                                <w:rFonts w:hint="eastAsia"/>
                              </w:rPr>
                              <w:t xml:space="preserve">ICS </w:t>
                            </w:r>
                          </w:p>
                          <w:p w14:paraId="0687F0F3" w14:textId="77777777" w:rsidR="006D4899" w:rsidRDefault="00000000">
                            <w:pPr>
                              <w:pStyle w:val="aff0"/>
                            </w:pPr>
                            <w:r>
                              <w:rPr>
                                <w:rFonts w:hint="eastAsia"/>
                              </w:rPr>
                              <w:t xml:space="preserve">CCS </w:t>
                            </w:r>
                          </w:p>
                          <w:p w14:paraId="283344C3" w14:textId="77777777" w:rsidR="006D4899" w:rsidRDefault="00000000">
                            <w:pPr>
                              <w:pStyle w:val="aff0"/>
                            </w:pPr>
                            <w:r>
                              <w:rPr>
                                <w:rFonts w:hint="eastAsia"/>
                              </w:rPr>
                              <w:t>备案号：</w:t>
                            </w:r>
                          </w:p>
                          <w:p w14:paraId="51E1C64E" w14:textId="77777777" w:rsidR="006D4899" w:rsidRDefault="006D4899">
                            <w:pPr>
                              <w:pStyle w:val="aff0"/>
                            </w:pPr>
                          </w:p>
                        </w:txbxContent>
                      </wps:txbx>
                      <wps:bodyPr wrap="square" lIns="0" tIns="0" rIns="0" bIns="0" upright="1"/>
                    </wps:wsp>
                  </a:graphicData>
                </a:graphic>
              </wp:anchor>
            </w:drawing>
          </mc:Choice>
          <mc:Fallback>
            <w:pict>
              <v:shape w14:anchorId="258D1176" id="文本框 14" o:spid="_x0000_s1032" type="#_x0000_t202" style="position:absolute;left:0;text-align:left;margin-left:0;margin-top:0;width:69.55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" stroked="f">
                <v:textbox inset="0,0,0,0">
                  <w:txbxContent>
                    <w:p w14:paraId="2CAD1193" w14:textId="77777777" w:rsidR="006D4899" w:rsidRDefault="00000000">
                      <w:pPr>
                        <w:pStyle w:val="aff0"/>
                      </w:pPr>
                      <w:r>
                        <w:rPr>
                          <w:rFonts w:hint="eastAsia"/>
                        </w:rPr>
                        <w:t xml:space="preserve">ICS </w:t>
                      </w:r>
                    </w:p>
                    <w:p w14:paraId="0687F0F3" w14:textId="77777777" w:rsidR="006D4899" w:rsidRDefault="00000000">
                      <w:pPr>
                        <w:pStyle w:val="aff0"/>
                      </w:pPr>
                      <w:r>
                        <w:rPr>
                          <w:rFonts w:hint="eastAsia"/>
                        </w:rPr>
                        <w:t xml:space="preserve">CCS </w:t>
                      </w:r>
                    </w:p>
                    <w:p w14:paraId="283344C3" w14:textId="77777777" w:rsidR="006D4899" w:rsidRDefault="00000000">
                      <w:pPr>
                        <w:pStyle w:val="aff0"/>
                      </w:pPr>
                      <w:r>
                        <w:rPr>
                          <w:rFonts w:hint="eastAsia"/>
                        </w:rPr>
                        <w:t>备案号：</w:t>
                      </w:r>
                    </w:p>
                    <w:p w14:paraId="51E1C64E" w14:textId="77777777" w:rsidR="006D4899" w:rsidRDefault="006D4899">
                      <w:pPr>
                        <w:pStyle w:val="aff0"/>
                      </w:pPr>
                    </w:p>
                  </w:txbxContent>
                </v:textbox>
                <w10:wrap anchorx="margin" anchory="margin"/>
                <w10:anchorlock/>
              </v:shape>
            </w:pict>
          </mc:Fallback>
        </mc:AlternateContent>
      </w:r>
      <w:r>
        <w:rPr>
          <w:rFonts w:ascii="Times New Roman" w:hint="eastAsia"/>
          <w:b/>
          <w:bCs/>
          <w:sz w:val="96"/>
          <w:szCs w:val="96"/>
          <w:lang w:eastAsia="zh-CN"/>
        </w:rPr>
        <w:t>9</w:t>
      </w:r>
    </w:p>
    <w:bookmarkEnd w:id="3" w:displacedByCustomXml="next"/>
    <w:bookmarkEnd w:id="2" w:displacedByCustomXml="next"/>
    <w:bookmarkEnd w:id="1" w:displacedByCustomXml="next"/>
    <w:bookmarkEnd w:id="0" w:displacedByCustomXml="next"/>
    <w:sdt>
      <w:sdtPr>
        <w:rPr>
          <w:rFonts w:ascii="黑体" w:eastAsia="黑体" w:hAnsi="黑体" w:cs="黑体" w:hint="eastAsia"/>
          <w:sz w:val="32"/>
          <w:szCs w:val="32"/>
          <w:lang w:eastAsia="zh-CN"/>
        </w:rPr>
        <w:id w:val="147471893"/>
        <w:docPartObj>
          <w:docPartGallery w:val="Table of Contents"/>
          <w:docPartUnique/>
        </w:docPartObj>
      </w:sdtPr>
      <w:sdtEndPr>
        <w:rPr>
          <w:rFonts w:hAnsi="Calibri" w:cs="Times New Roman"/>
          <w:sz w:val="21"/>
        </w:rPr>
      </w:sdtEndPr>
      <w:sdtContent>
        <w:p w14:paraId="60B37542" w14:textId="77777777" w:rsidR="006D4899" w:rsidRDefault="00000000">
          <w:pPr>
            <w:spacing w:line="720" w:lineRule="auto"/>
            <w:jc w:val="center"/>
            <w:rPr>
              <w:rFonts w:ascii="黑体" w:eastAsia="黑体" w:hAnsi="黑体" w:cs="黑体"/>
              <w:sz w:val="32"/>
              <w:szCs w:val="32"/>
              <w:lang w:eastAsia="zh-CN"/>
            </w:rPr>
          </w:pPr>
          <w:r>
            <w:rPr>
              <w:rFonts w:ascii="黑体" w:eastAsia="黑体" w:hAnsi="黑体" w:cs="黑体" w:hint="eastAsia"/>
              <w:sz w:val="32"/>
              <w:szCs w:val="32"/>
              <w:lang w:eastAsia="zh-CN"/>
            </w:rPr>
            <w:t>目  次</w:t>
          </w:r>
        </w:p>
        <w:sdt>
          <w:sdtPr>
            <w:rPr>
              <w:rFonts w:cstheme="minorBidi"/>
              <w:kern w:val="2"/>
              <w:sz w:val="21"/>
              <w:szCs w:val="24"/>
              <w:lang w:eastAsia="zh-CN"/>
            </w:rPr>
            <w:id w:val="147480141"/>
            <w15:color w:val="DBDBDB"/>
            <w:docPartObj>
              <w:docPartGallery w:val="Table of Contents"/>
              <w:docPartUnique/>
            </w:docPartObj>
          </w:sdtPr>
          <w:sdtEndPr>
            <w:rPr>
              <w:rFonts w:ascii="微软雅黑" w:eastAsia="微软雅黑" w:hAnsi="微软雅黑" w:cs="微软雅黑" w:hint="eastAsia"/>
              <w:color w:val="000000"/>
              <w:szCs w:val="22"/>
              <w:lang w:bidi="ar"/>
            </w:rPr>
          </w:sdtEndPr>
          <w:sdtContent>
            <w:p w14:paraId="5FA64868" w14:textId="77777777" w:rsidR="006D4899" w:rsidRDefault="00000000">
              <w:pPr>
                <w:jc w:val="center"/>
              </w:pPr>
              <w:r>
                <w:rPr>
                  <w:rFonts w:ascii="微软雅黑" w:eastAsia="微软雅黑" w:hAnsi="微软雅黑" w:cs="微软雅黑" w:hint="eastAsia"/>
                  <w:color w:val="000000"/>
                  <w:kern w:val="2"/>
                  <w:sz w:val="32"/>
                  <w:lang w:eastAsia="zh-CN" w:bidi="ar"/>
                </w:rPr>
                <w:fldChar w:fldCharType="begin"/>
              </w:r>
              <w:r>
                <w:rPr>
                  <w:rFonts w:ascii="微软雅黑" w:eastAsia="微软雅黑" w:hAnsi="微软雅黑" w:cs="微软雅黑" w:hint="eastAsia"/>
                  <w:color w:val="000000"/>
                  <w:kern w:val="2"/>
                  <w:sz w:val="32"/>
                  <w:lang w:eastAsia="zh-CN" w:bidi="ar"/>
                </w:rPr>
                <w:instrText xml:space="preserve">TOC \o "1-1" \h \u </w:instrText>
              </w:r>
              <w:r>
                <w:rPr>
                  <w:rFonts w:ascii="微软雅黑" w:eastAsia="微软雅黑" w:hAnsi="微软雅黑" w:cs="微软雅黑" w:hint="eastAsia"/>
                  <w:color w:val="000000"/>
                  <w:kern w:val="2"/>
                  <w:sz w:val="32"/>
                  <w:lang w:eastAsia="zh-CN" w:bidi="ar"/>
                </w:rPr>
                <w:fldChar w:fldCharType="separate"/>
              </w:r>
            </w:p>
            <w:p w14:paraId="0934990C" w14:textId="77777777" w:rsidR="006D4899" w:rsidRDefault="00000000">
              <w:pPr>
                <w:pStyle w:val="WPSOffice1"/>
                <w:tabs>
                  <w:tab w:val="right" w:leader="dot" w:pos="9360"/>
                </w:tabs>
                <w:spacing w:line="288" w:lineRule="auto"/>
                <w:rPr>
                  <w:sz w:val="21"/>
                  <w:szCs w:val="21"/>
                </w:rPr>
              </w:pPr>
              <w:hyperlink w:anchor="_Toc13685" w:history="1">
                <w:r>
                  <w:rPr>
                    <w:rFonts w:hint="eastAsia"/>
                    <w:sz w:val="21"/>
                    <w:szCs w:val="21"/>
                  </w:rPr>
                  <w:t>前言</w:t>
                </w:r>
                <w:r>
                  <w:rPr>
                    <w:sz w:val="21"/>
                    <w:szCs w:val="21"/>
                  </w:rPr>
                  <w:tab/>
                </w:r>
                <w:r>
                  <w:rPr>
                    <w:rFonts w:hint="eastAsia"/>
                    <w:sz w:val="21"/>
                    <w:szCs w:val="21"/>
                  </w:rPr>
                  <w:fldChar w:fldCharType="begin"/>
                </w:r>
                <w:r>
                  <w:rPr>
                    <w:rFonts w:hint="eastAsia"/>
                    <w:sz w:val="21"/>
                    <w:szCs w:val="21"/>
                  </w:rPr>
                  <w:instrText xml:space="preserve"> = 2 \* ROMAN \* MERGEFORMAT </w:instrText>
                </w:r>
                <w:r>
                  <w:rPr>
                    <w:rFonts w:hint="eastAsia"/>
                    <w:sz w:val="21"/>
                    <w:szCs w:val="21"/>
                  </w:rPr>
                  <w:fldChar w:fldCharType="separate"/>
                </w:r>
                <w:r>
                  <w:rPr>
                    <w:sz w:val="21"/>
                    <w:szCs w:val="21"/>
                  </w:rPr>
                  <w:t>II</w:t>
                </w:r>
                <w:r>
                  <w:rPr>
                    <w:rFonts w:hint="eastAsia"/>
                    <w:sz w:val="21"/>
                    <w:szCs w:val="21"/>
                  </w:rPr>
                  <w:fldChar w:fldCharType="end"/>
                </w:r>
              </w:hyperlink>
            </w:p>
            <w:p w14:paraId="41E01DFA" w14:textId="77777777" w:rsidR="006D4899" w:rsidRDefault="00000000">
              <w:pPr>
                <w:pStyle w:val="WPSOffice1"/>
                <w:tabs>
                  <w:tab w:val="right" w:leader="dot" w:pos="9360"/>
                </w:tabs>
                <w:spacing w:line="288" w:lineRule="auto"/>
                <w:rPr>
                  <w:sz w:val="21"/>
                  <w:szCs w:val="21"/>
                </w:rPr>
              </w:pPr>
              <w:hyperlink w:anchor="_Toc18533" w:history="1">
                <w:r>
                  <w:rPr>
                    <w:sz w:val="21"/>
                    <w:szCs w:val="21"/>
                  </w:rPr>
                  <w:t xml:space="preserve">1 </w:t>
                </w:r>
                <w:r>
                  <w:rPr>
                    <w:rFonts w:hint="eastAsia"/>
                    <w:sz w:val="21"/>
                    <w:szCs w:val="21"/>
                  </w:rPr>
                  <w:t xml:space="preserve"> </w:t>
                </w:r>
                <w:r>
                  <w:rPr>
                    <w:sz w:val="21"/>
                    <w:szCs w:val="21"/>
                  </w:rPr>
                  <w:t>范围</w:t>
                </w:r>
                <w:r>
                  <w:rPr>
                    <w:sz w:val="21"/>
                    <w:szCs w:val="21"/>
                  </w:rPr>
                  <w:tab/>
                </w:r>
                <w:r>
                  <w:rPr>
                    <w:rFonts w:hint="eastAsia"/>
                    <w:sz w:val="21"/>
                    <w:szCs w:val="21"/>
                  </w:rPr>
                  <w:t>1</w:t>
                </w:r>
              </w:hyperlink>
            </w:p>
            <w:p w14:paraId="4DEAD7A3" w14:textId="77777777" w:rsidR="006D4899" w:rsidRDefault="00000000">
              <w:pPr>
                <w:pStyle w:val="WPSOffice1"/>
                <w:tabs>
                  <w:tab w:val="right" w:leader="dot" w:pos="9360"/>
                </w:tabs>
                <w:spacing w:line="288" w:lineRule="auto"/>
                <w:rPr>
                  <w:sz w:val="21"/>
                  <w:szCs w:val="21"/>
                </w:rPr>
              </w:pPr>
              <w:hyperlink w:anchor="_Toc8687" w:history="1">
                <w:r>
                  <w:rPr>
                    <w:rFonts w:hint="eastAsia"/>
                    <w:sz w:val="21"/>
                    <w:szCs w:val="21"/>
                  </w:rPr>
                  <w:t xml:space="preserve">2  </w:t>
                </w:r>
                <w:r>
                  <w:rPr>
                    <w:rFonts w:hint="eastAsia"/>
                    <w:sz w:val="21"/>
                    <w:szCs w:val="21"/>
                  </w:rPr>
                  <w:t>规范性引用文件</w:t>
                </w:r>
                <w:r>
                  <w:rPr>
                    <w:sz w:val="21"/>
                    <w:szCs w:val="21"/>
                  </w:rPr>
                  <w:tab/>
                </w:r>
                <w:r>
                  <w:rPr>
                    <w:rFonts w:hint="eastAsia"/>
                    <w:sz w:val="21"/>
                    <w:szCs w:val="21"/>
                  </w:rPr>
                  <w:t>1</w:t>
                </w:r>
              </w:hyperlink>
            </w:p>
            <w:p w14:paraId="455F5D8F" w14:textId="77777777" w:rsidR="006D4899" w:rsidRDefault="00000000">
              <w:pPr>
                <w:pStyle w:val="WPSOffice1"/>
                <w:tabs>
                  <w:tab w:val="right" w:leader="dot" w:pos="9360"/>
                </w:tabs>
                <w:spacing w:line="288" w:lineRule="auto"/>
                <w:rPr>
                  <w:sz w:val="21"/>
                  <w:szCs w:val="21"/>
                </w:rPr>
              </w:pPr>
              <w:hyperlink w:anchor="_Toc15570" w:history="1">
                <w:r>
                  <w:rPr>
                    <w:rFonts w:hint="eastAsia"/>
                    <w:sz w:val="21"/>
                    <w:szCs w:val="21"/>
                  </w:rPr>
                  <w:t xml:space="preserve">3  </w:t>
                </w:r>
                <w:r>
                  <w:rPr>
                    <w:rFonts w:hint="eastAsia"/>
                    <w:sz w:val="21"/>
                    <w:szCs w:val="21"/>
                  </w:rPr>
                  <w:t>术语和定义</w:t>
                </w:r>
                <w:r>
                  <w:rPr>
                    <w:sz w:val="21"/>
                    <w:szCs w:val="21"/>
                  </w:rPr>
                  <w:tab/>
                </w:r>
                <w:r>
                  <w:rPr>
                    <w:rFonts w:hint="eastAsia"/>
                    <w:sz w:val="21"/>
                    <w:szCs w:val="21"/>
                  </w:rPr>
                  <w:t>1</w:t>
                </w:r>
              </w:hyperlink>
            </w:p>
            <w:p w14:paraId="76950C84" w14:textId="77777777" w:rsidR="006D4899" w:rsidRDefault="00000000">
              <w:pPr>
                <w:pStyle w:val="WPSOffice1"/>
                <w:tabs>
                  <w:tab w:val="right" w:leader="dot" w:pos="9360"/>
                </w:tabs>
                <w:spacing w:line="288" w:lineRule="auto"/>
                <w:rPr>
                  <w:sz w:val="21"/>
                  <w:szCs w:val="21"/>
                </w:rPr>
              </w:pPr>
              <w:hyperlink w:anchor="_Toc19475" w:history="1">
                <w:r>
                  <w:rPr>
                    <w:rFonts w:hint="eastAsia"/>
                    <w:sz w:val="21"/>
                    <w:szCs w:val="21"/>
                  </w:rPr>
                  <w:t>4  PCR</w:t>
                </w:r>
                <w:r>
                  <w:rPr>
                    <w:rFonts w:hint="eastAsia"/>
                    <w:sz w:val="21"/>
                    <w:szCs w:val="21"/>
                  </w:rPr>
                  <w:t>实验室医疗废弃物管理要求</w:t>
                </w:r>
                <w:r>
                  <w:rPr>
                    <w:sz w:val="21"/>
                    <w:szCs w:val="21"/>
                  </w:rPr>
                  <w:tab/>
                </w:r>
                <w:r>
                  <w:rPr>
                    <w:rFonts w:hint="eastAsia"/>
                    <w:sz w:val="21"/>
                    <w:szCs w:val="21"/>
                  </w:rPr>
                  <w:t>2</w:t>
                </w:r>
              </w:hyperlink>
            </w:p>
            <w:p w14:paraId="4F0E0E6D" w14:textId="77777777" w:rsidR="006D4899" w:rsidRDefault="00000000">
              <w:pPr>
                <w:pStyle w:val="WPSOffice1"/>
                <w:tabs>
                  <w:tab w:val="right" w:leader="dot" w:pos="9360"/>
                </w:tabs>
                <w:spacing w:line="288" w:lineRule="auto"/>
                <w:rPr>
                  <w:sz w:val="21"/>
                  <w:szCs w:val="21"/>
                </w:rPr>
              </w:pPr>
              <w:hyperlink w:anchor="_Toc15177" w:history="1">
                <w:r>
                  <w:rPr>
                    <w:rFonts w:hint="eastAsia"/>
                    <w:sz w:val="21"/>
                    <w:szCs w:val="21"/>
                  </w:rPr>
                  <w:t xml:space="preserve">5  </w:t>
                </w:r>
                <w:r>
                  <w:rPr>
                    <w:rFonts w:hint="eastAsia"/>
                    <w:sz w:val="21"/>
                    <w:szCs w:val="21"/>
                  </w:rPr>
                  <w:t>医疗废弃物分类</w:t>
                </w:r>
                <w:r>
                  <w:rPr>
                    <w:sz w:val="21"/>
                    <w:szCs w:val="21"/>
                  </w:rPr>
                  <w:tab/>
                </w:r>
                <w:r>
                  <w:rPr>
                    <w:rFonts w:hint="eastAsia"/>
                    <w:sz w:val="21"/>
                    <w:szCs w:val="21"/>
                  </w:rPr>
                  <w:t>2</w:t>
                </w:r>
              </w:hyperlink>
            </w:p>
            <w:p w14:paraId="694C49C8" w14:textId="77777777" w:rsidR="006D4899" w:rsidRDefault="00000000">
              <w:pPr>
                <w:pStyle w:val="WPSOffice1"/>
                <w:tabs>
                  <w:tab w:val="right" w:leader="dot" w:pos="9360"/>
                </w:tabs>
                <w:spacing w:line="288" w:lineRule="auto"/>
                <w:rPr>
                  <w:sz w:val="21"/>
                  <w:szCs w:val="21"/>
                </w:rPr>
              </w:pPr>
              <w:hyperlink w:anchor="_Toc8361" w:history="1">
                <w:r>
                  <w:rPr>
                    <w:rFonts w:hint="eastAsia"/>
                    <w:sz w:val="21"/>
                    <w:szCs w:val="21"/>
                  </w:rPr>
                  <w:t>6  PCR</w:t>
                </w:r>
                <w:r>
                  <w:rPr>
                    <w:rFonts w:hint="eastAsia"/>
                    <w:sz w:val="21"/>
                    <w:szCs w:val="21"/>
                  </w:rPr>
                  <w:t>实验室医疗废弃物收集</w:t>
                </w:r>
                <w:r>
                  <w:rPr>
                    <w:sz w:val="21"/>
                    <w:szCs w:val="21"/>
                  </w:rPr>
                  <w:tab/>
                </w:r>
                <w:r>
                  <w:rPr>
                    <w:rFonts w:hint="eastAsia"/>
                    <w:sz w:val="21"/>
                    <w:szCs w:val="21"/>
                  </w:rPr>
                  <w:t>2</w:t>
                </w:r>
              </w:hyperlink>
            </w:p>
            <w:p w14:paraId="2EB763DC" w14:textId="77777777" w:rsidR="006D4899" w:rsidRDefault="00000000">
              <w:pPr>
                <w:pStyle w:val="WPSOffice1"/>
                <w:tabs>
                  <w:tab w:val="right" w:leader="dot" w:pos="9360"/>
                </w:tabs>
                <w:spacing w:line="288" w:lineRule="auto"/>
                <w:rPr>
                  <w:sz w:val="21"/>
                  <w:szCs w:val="21"/>
                </w:rPr>
              </w:pPr>
              <w:hyperlink w:anchor="_Toc31154" w:history="1">
                <w:r>
                  <w:rPr>
                    <w:rFonts w:hint="eastAsia"/>
                    <w:sz w:val="21"/>
                    <w:szCs w:val="21"/>
                  </w:rPr>
                  <w:t>7  PCR</w:t>
                </w:r>
                <w:r>
                  <w:rPr>
                    <w:rFonts w:hint="eastAsia"/>
                    <w:sz w:val="21"/>
                    <w:szCs w:val="21"/>
                  </w:rPr>
                  <w:t>实验室医疗废弃物转运、存放及处置</w:t>
                </w:r>
                <w:r>
                  <w:rPr>
                    <w:sz w:val="21"/>
                    <w:szCs w:val="21"/>
                  </w:rPr>
                  <w:tab/>
                </w:r>
                <w:r>
                  <w:rPr>
                    <w:rFonts w:hint="eastAsia"/>
                    <w:sz w:val="21"/>
                    <w:szCs w:val="21"/>
                  </w:rPr>
                  <w:t>3</w:t>
                </w:r>
              </w:hyperlink>
            </w:p>
            <w:p w14:paraId="4C7EBF78" w14:textId="77777777" w:rsidR="006D4899" w:rsidRDefault="00000000">
              <w:pPr>
                <w:pStyle w:val="WPSOffice1"/>
                <w:tabs>
                  <w:tab w:val="right" w:leader="dot" w:pos="9360"/>
                </w:tabs>
                <w:spacing w:line="288" w:lineRule="auto"/>
                <w:rPr>
                  <w:sz w:val="21"/>
                  <w:szCs w:val="21"/>
                </w:rPr>
              </w:pPr>
              <w:hyperlink w:anchor="_Toc11408" w:history="1">
                <w:r>
                  <w:rPr>
                    <w:rFonts w:hint="eastAsia"/>
                    <w:sz w:val="21"/>
                    <w:szCs w:val="21"/>
                  </w:rPr>
                  <w:t xml:space="preserve">8  </w:t>
                </w:r>
                <w:r>
                  <w:rPr>
                    <w:rFonts w:hint="eastAsia"/>
                    <w:sz w:val="21"/>
                    <w:szCs w:val="21"/>
                  </w:rPr>
                  <w:t>污水排放</w:t>
                </w:r>
                <w:r>
                  <w:rPr>
                    <w:sz w:val="21"/>
                    <w:szCs w:val="21"/>
                  </w:rPr>
                  <w:tab/>
                </w:r>
                <w:r>
                  <w:rPr>
                    <w:rFonts w:hint="eastAsia"/>
                    <w:sz w:val="21"/>
                    <w:szCs w:val="21"/>
                  </w:rPr>
                  <w:t>4</w:t>
                </w:r>
              </w:hyperlink>
            </w:p>
            <w:p w14:paraId="3584428D" w14:textId="77777777" w:rsidR="006D4899" w:rsidRDefault="00000000">
              <w:pPr>
                <w:pStyle w:val="WPSOffice1"/>
                <w:tabs>
                  <w:tab w:val="right" w:leader="dot" w:pos="9360"/>
                </w:tabs>
                <w:spacing w:line="288" w:lineRule="auto"/>
                <w:rPr>
                  <w:sz w:val="21"/>
                  <w:szCs w:val="21"/>
                </w:rPr>
              </w:pPr>
              <w:hyperlink w:anchor="_Toc3513" w:history="1">
                <w:r>
                  <w:rPr>
                    <w:rFonts w:hint="eastAsia"/>
                    <w:sz w:val="21"/>
                    <w:szCs w:val="21"/>
                  </w:rPr>
                  <w:t xml:space="preserve">9  </w:t>
                </w:r>
                <w:r>
                  <w:rPr>
                    <w:rFonts w:hint="eastAsia"/>
                    <w:sz w:val="21"/>
                    <w:szCs w:val="21"/>
                  </w:rPr>
                  <w:t>记录</w:t>
                </w:r>
                <w:r>
                  <w:rPr>
                    <w:sz w:val="21"/>
                    <w:szCs w:val="21"/>
                  </w:rPr>
                  <w:tab/>
                </w:r>
                <w:r>
                  <w:rPr>
                    <w:rFonts w:hint="eastAsia"/>
                    <w:sz w:val="21"/>
                    <w:szCs w:val="21"/>
                  </w:rPr>
                  <w:t>4</w:t>
                </w:r>
              </w:hyperlink>
            </w:p>
            <w:p w14:paraId="2DF9DA8A" w14:textId="77777777" w:rsidR="006D4899" w:rsidRDefault="00000000">
              <w:pPr>
                <w:pStyle w:val="WPSOffice1"/>
                <w:tabs>
                  <w:tab w:val="right" w:leader="dot" w:pos="9360"/>
                </w:tabs>
                <w:spacing w:line="288" w:lineRule="auto"/>
                <w:ind w:firstLineChars="100" w:firstLine="210"/>
                <w:rPr>
                  <w:sz w:val="21"/>
                  <w:szCs w:val="21"/>
                </w:rPr>
              </w:pPr>
              <w:r>
                <w:rPr>
                  <w:rFonts w:hint="eastAsia"/>
                  <w:sz w:val="21"/>
                  <w:szCs w:val="21"/>
                </w:rPr>
                <w:t xml:space="preserve"> </w:t>
              </w:r>
              <w:r>
                <w:rPr>
                  <w:rFonts w:hint="eastAsia"/>
                  <w:sz w:val="21"/>
                  <w:szCs w:val="21"/>
                </w:rPr>
                <w:t>附录</w:t>
              </w:r>
              <w:r>
                <w:rPr>
                  <w:sz w:val="21"/>
                  <w:szCs w:val="21"/>
                </w:rPr>
                <w:tab/>
              </w:r>
              <w:r>
                <w:rPr>
                  <w:rFonts w:hint="eastAsia"/>
                  <w:sz w:val="21"/>
                  <w:szCs w:val="21"/>
                </w:rPr>
                <w:t>5</w:t>
              </w:r>
            </w:p>
            <w:p w14:paraId="6541A644" w14:textId="77777777" w:rsidR="006D4899" w:rsidRDefault="006D4899">
              <w:pPr>
                <w:pStyle w:val="WPSOffice1"/>
                <w:tabs>
                  <w:tab w:val="right" w:leader="dot" w:pos="9360"/>
                </w:tabs>
                <w:spacing w:line="288" w:lineRule="auto"/>
              </w:pPr>
            </w:p>
            <w:p w14:paraId="22945925" w14:textId="77777777" w:rsidR="006D4899" w:rsidRDefault="00000000">
              <w:pPr>
                <w:pStyle w:val="a0"/>
                <w:numPr>
                  <w:ilvl w:val="0"/>
                  <w:numId w:val="0"/>
                </w:numPr>
                <w:jc w:val="center"/>
                <w:outlineLvl w:val="9"/>
                <w:rPr>
                  <w:sz w:val="32"/>
                  <w:szCs w:val="32"/>
                </w:rPr>
              </w:pPr>
              <w:r>
                <w:rPr>
                  <w:rFonts w:ascii="微软雅黑" w:eastAsia="微软雅黑" w:hAnsi="微软雅黑" w:cs="微软雅黑" w:hint="eastAsia"/>
                  <w:color w:val="000000"/>
                  <w:kern w:val="2"/>
                  <w:szCs w:val="22"/>
                  <w:lang w:bidi="ar"/>
                </w:rPr>
                <w:fldChar w:fldCharType="end"/>
              </w:r>
            </w:p>
          </w:sdtContent>
        </w:sdt>
      </w:sdtContent>
    </w:sdt>
    <w:p w14:paraId="302C9D22" w14:textId="77777777" w:rsidR="006D4899" w:rsidRDefault="006D4899">
      <w:pPr>
        <w:pStyle w:val="a0"/>
        <w:numPr>
          <w:ilvl w:val="0"/>
          <w:numId w:val="0"/>
        </w:numPr>
        <w:jc w:val="center"/>
        <w:outlineLvl w:val="9"/>
        <w:rPr>
          <w:sz w:val="32"/>
          <w:szCs w:val="32"/>
        </w:rPr>
      </w:pPr>
    </w:p>
    <w:p w14:paraId="3A950023" w14:textId="77777777" w:rsidR="006D4899" w:rsidRDefault="006D4899">
      <w:pPr>
        <w:pStyle w:val="a0"/>
        <w:numPr>
          <w:ilvl w:val="0"/>
          <w:numId w:val="0"/>
        </w:numPr>
        <w:jc w:val="center"/>
        <w:outlineLvl w:val="9"/>
        <w:rPr>
          <w:sz w:val="32"/>
          <w:szCs w:val="32"/>
        </w:rPr>
      </w:pPr>
    </w:p>
    <w:p w14:paraId="01330FF1" w14:textId="77777777" w:rsidR="006D4899" w:rsidRDefault="006D4899">
      <w:pPr>
        <w:pStyle w:val="a0"/>
        <w:numPr>
          <w:ilvl w:val="0"/>
          <w:numId w:val="0"/>
        </w:numPr>
        <w:jc w:val="center"/>
        <w:outlineLvl w:val="9"/>
        <w:rPr>
          <w:sz w:val="32"/>
          <w:szCs w:val="32"/>
        </w:rPr>
      </w:pPr>
    </w:p>
    <w:p w14:paraId="1EF74022" w14:textId="77777777" w:rsidR="006D4899" w:rsidRDefault="006D4899">
      <w:pPr>
        <w:pStyle w:val="a0"/>
        <w:numPr>
          <w:ilvl w:val="0"/>
          <w:numId w:val="0"/>
        </w:numPr>
        <w:jc w:val="center"/>
        <w:outlineLvl w:val="9"/>
        <w:rPr>
          <w:sz w:val="32"/>
          <w:szCs w:val="32"/>
        </w:rPr>
      </w:pPr>
    </w:p>
    <w:p w14:paraId="0E6418F2" w14:textId="77777777" w:rsidR="006D4899" w:rsidRDefault="006D4899">
      <w:pPr>
        <w:pStyle w:val="a0"/>
        <w:numPr>
          <w:ilvl w:val="0"/>
          <w:numId w:val="0"/>
        </w:numPr>
        <w:jc w:val="center"/>
        <w:outlineLvl w:val="9"/>
        <w:rPr>
          <w:sz w:val="32"/>
          <w:szCs w:val="32"/>
        </w:rPr>
      </w:pPr>
    </w:p>
    <w:p w14:paraId="311DAA8F" w14:textId="77777777" w:rsidR="006D4899" w:rsidRDefault="006D4899">
      <w:pPr>
        <w:pStyle w:val="a0"/>
        <w:numPr>
          <w:ilvl w:val="0"/>
          <w:numId w:val="0"/>
        </w:numPr>
        <w:rPr>
          <w:sz w:val="32"/>
          <w:szCs w:val="32"/>
        </w:rPr>
      </w:pPr>
    </w:p>
    <w:p w14:paraId="5A24F957" w14:textId="77777777" w:rsidR="006D4899" w:rsidRDefault="006D4899">
      <w:pPr>
        <w:pStyle w:val="af3"/>
        <w:ind w:firstLineChars="0" w:firstLine="0"/>
        <w:rPr>
          <w:sz w:val="32"/>
          <w:szCs w:val="32"/>
        </w:rPr>
      </w:pPr>
    </w:p>
    <w:p w14:paraId="577E6871" w14:textId="77777777" w:rsidR="006D4899" w:rsidRDefault="00000000">
      <w:pPr>
        <w:pStyle w:val="a0"/>
        <w:numPr>
          <w:ilvl w:val="0"/>
          <w:numId w:val="0"/>
        </w:numPr>
        <w:spacing w:beforeLines="0" w:before="0" w:afterLines="0" w:after="0" w:line="720" w:lineRule="auto"/>
        <w:jc w:val="center"/>
        <w:rPr>
          <w:sz w:val="32"/>
          <w:szCs w:val="32"/>
        </w:rPr>
      </w:pPr>
      <w:bookmarkStart w:id="4" w:name="_Toc13685"/>
      <w:r>
        <w:rPr>
          <w:rFonts w:hint="eastAsia"/>
          <w:sz w:val="32"/>
          <w:szCs w:val="32"/>
        </w:rPr>
        <w:t>前言</w:t>
      </w:r>
      <w:bookmarkEnd w:id="4"/>
    </w:p>
    <w:p w14:paraId="27799384" w14:textId="77777777" w:rsidR="006D4899" w:rsidRDefault="00000000">
      <w:pPr>
        <w:pStyle w:val="a5"/>
        <w:spacing w:line="288" w:lineRule="auto"/>
        <w:ind w:firstLineChars="200" w:firstLine="420"/>
        <w:rPr>
          <w:lang w:eastAsia="zh-CN"/>
        </w:rPr>
      </w:pPr>
      <w:r>
        <w:rPr>
          <w:rFonts w:hint="eastAsia"/>
          <w:lang w:eastAsia="zh-CN"/>
        </w:rPr>
        <w:t xml:space="preserve">本文件按照GB/T 1.1—2020《标准化工作导则  第1部分：标准化文件的结构和起草规则》的规定起草。  </w:t>
      </w:r>
    </w:p>
    <w:p w14:paraId="1E5EB29A" w14:textId="7E9B3C51" w:rsidR="00CD64D3" w:rsidRDefault="00CD64D3">
      <w:pPr>
        <w:pStyle w:val="a5"/>
        <w:spacing w:line="288" w:lineRule="auto"/>
        <w:ind w:firstLineChars="200" w:firstLine="420"/>
        <w:rPr>
          <w:lang w:eastAsia="zh-CN"/>
        </w:rPr>
      </w:pPr>
      <w:r>
        <w:rPr>
          <w:rFonts w:hint="eastAsia"/>
          <w:lang w:eastAsia="zh-CN"/>
        </w:rPr>
        <w:t>本文件由忻州市卫生健康委员会提出。</w:t>
      </w:r>
    </w:p>
    <w:p w14:paraId="7E1CE7F8" w14:textId="3EF37F12" w:rsidR="006D4899" w:rsidRDefault="00000000">
      <w:pPr>
        <w:pStyle w:val="a5"/>
        <w:spacing w:line="288" w:lineRule="auto"/>
        <w:ind w:firstLineChars="200" w:firstLine="420"/>
        <w:rPr>
          <w:lang w:eastAsia="zh-CN"/>
        </w:rPr>
      </w:pPr>
      <w:r>
        <w:rPr>
          <w:rFonts w:hint="eastAsia"/>
          <w:lang w:eastAsia="zh-CN"/>
        </w:rPr>
        <w:t xml:space="preserve">本文件由忻州市卫生健康标准化技术委员会归口。 </w:t>
      </w:r>
    </w:p>
    <w:p w14:paraId="35FC1E10" w14:textId="77777777" w:rsidR="006D4899" w:rsidRDefault="00000000">
      <w:pPr>
        <w:pStyle w:val="a5"/>
        <w:spacing w:line="288" w:lineRule="auto"/>
        <w:ind w:firstLineChars="200" w:firstLine="420"/>
        <w:rPr>
          <w:lang w:eastAsia="zh-CN"/>
        </w:rPr>
      </w:pPr>
      <w:r>
        <w:rPr>
          <w:rFonts w:hint="eastAsia"/>
          <w:lang w:eastAsia="zh-CN"/>
        </w:rPr>
        <w:t>本文件起草单位：忻州市疾病预防控制中心、</w:t>
      </w:r>
      <w:proofErr w:type="gramStart"/>
      <w:r>
        <w:rPr>
          <w:rFonts w:hint="eastAsia"/>
          <w:lang w:eastAsia="zh-CN"/>
        </w:rPr>
        <w:t>忻州国馨医学</w:t>
      </w:r>
      <w:proofErr w:type="gramEnd"/>
      <w:r>
        <w:rPr>
          <w:rFonts w:hint="eastAsia"/>
          <w:lang w:eastAsia="zh-CN"/>
        </w:rPr>
        <w:t>检验实验室有限公司</w:t>
      </w:r>
    </w:p>
    <w:p w14:paraId="241A2727" w14:textId="77777777" w:rsidR="006D4899" w:rsidRDefault="00000000">
      <w:pPr>
        <w:pStyle w:val="a5"/>
        <w:spacing w:line="288" w:lineRule="auto"/>
        <w:ind w:leftChars="190" w:left="2308" w:hangingChars="900" w:hanging="1890"/>
        <w:rPr>
          <w:lang w:eastAsia="zh-CN"/>
        </w:rPr>
      </w:pPr>
      <w:r>
        <w:rPr>
          <w:rFonts w:hint="eastAsia"/>
          <w:lang w:eastAsia="zh-CN"/>
        </w:rPr>
        <w:t>本文件主要起草人：</w:t>
      </w:r>
      <w:proofErr w:type="gramStart"/>
      <w:r>
        <w:rPr>
          <w:rFonts w:hint="eastAsia"/>
          <w:lang w:eastAsia="zh-CN"/>
        </w:rPr>
        <w:t>林灵</w:t>
      </w:r>
      <w:proofErr w:type="gramEnd"/>
      <w:r>
        <w:rPr>
          <w:rFonts w:hint="eastAsia"/>
          <w:lang w:eastAsia="zh-CN"/>
        </w:rPr>
        <w:t xml:space="preserve">   魏智芸   </w:t>
      </w:r>
      <w:proofErr w:type="gramStart"/>
      <w:r>
        <w:rPr>
          <w:rFonts w:hint="eastAsia"/>
          <w:lang w:eastAsia="zh-CN"/>
        </w:rPr>
        <w:t>栗新</w:t>
      </w:r>
      <w:proofErr w:type="gramEnd"/>
      <w:r>
        <w:rPr>
          <w:rFonts w:hint="eastAsia"/>
          <w:lang w:eastAsia="zh-CN"/>
        </w:rPr>
        <w:t xml:space="preserve">   王友   潘献慧   刘利平   </w:t>
      </w:r>
      <w:proofErr w:type="gramStart"/>
      <w:r>
        <w:rPr>
          <w:rFonts w:hint="eastAsia"/>
          <w:lang w:eastAsia="zh-CN"/>
        </w:rPr>
        <w:t>李宝亮</w:t>
      </w:r>
      <w:proofErr w:type="gramEnd"/>
      <w:r>
        <w:rPr>
          <w:rFonts w:hint="eastAsia"/>
          <w:lang w:eastAsia="zh-CN"/>
        </w:rPr>
        <w:t xml:space="preserve">   张楠   </w:t>
      </w:r>
    </w:p>
    <w:p w14:paraId="1A5CC6C2" w14:textId="77777777" w:rsidR="006D4899" w:rsidRDefault="00000000">
      <w:pPr>
        <w:pStyle w:val="a5"/>
        <w:spacing w:line="288" w:lineRule="auto"/>
        <w:ind w:leftChars="190" w:left="2308" w:hangingChars="900" w:hanging="1890"/>
        <w:rPr>
          <w:lang w:eastAsia="zh-CN"/>
        </w:rPr>
      </w:pPr>
      <w:r>
        <w:rPr>
          <w:rFonts w:hint="eastAsia"/>
          <w:lang w:eastAsia="zh-CN"/>
        </w:rPr>
        <w:t>梁腾蛟   周</w:t>
      </w:r>
      <w:proofErr w:type="gramStart"/>
      <w:r>
        <w:rPr>
          <w:rFonts w:hint="eastAsia"/>
          <w:lang w:eastAsia="zh-CN"/>
        </w:rPr>
        <w:t>桂旭   贺嘉</w:t>
      </w:r>
      <w:proofErr w:type="gramEnd"/>
      <w:r>
        <w:rPr>
          <w:rFonts w:hint="eastAsia"/>
          <w:lang w:eastAsia="zh-CN"/>
        </w:rPr>
        <w:t>欣   徐敏</w:t>
      </w:r>
    </w:p>
    <w:p w14:paraId="7441ADCE" w14:textId="2465E657" w:rsidR="006D4899" w:rsidRDefault="00000000">
      <w:pPr>
        <w:pStyle w:val="a5"/>
        <w:spacing w:line="288" w:lineRule="auto"/>
        <w:ind w:firstLineChars="200" w:firstLine="420"/>
        <w:rPr>
          <w:lang w:eastAsia="zh-CN"/>
        </w:rPr>
      </w:pPr>
      <w:r>
        <w:rPr>
          <w:rFonts w:hint="eastAsia"/>
          <w:lang w:eastAsia="zh-CN"/>
        </w:rPr>
        <w:t xml:space="preserve"> </w:t>
      </w:r>
    </w:p>
    <w:p w14:paraId="16B5B3EC"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53C4106B"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23B6AEBE"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325A68A5"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516D4F91"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69924E68"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2CD6D8BA"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49453575"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7F2093D4"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1FD4336A"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pPr>
    </w:p>
    <w:p w14:paraId="2AC525AD" w14:textId="77777777" w:rsidR="006D4899" w:rsidRDefault="006D4899">
      <w:pPr>
        <w:widowControl/>
        <w:autoSpaceDE/>
        <w:autoSpaceDN/>
        <w:spacing w:after="213" w:line="400" w:lineRule="exact"/>
        <w:jc w:val="both"/>
        <w:rPr>
          <w:rFonts w:ascii="微软雅黑" w:eastAsia="微软雅黑" w:hAnsi="微软雅黑" w:cs="微软雅黑"/>
          <w:color w:val="000000"/>
          <w:kern w:val="2"/>
          <w:sz w:val="32"/>
          <w:lang w:eastAsia="zh-CN" w:bidi="ar"/>
        </w:rPr>
        <w:sectPr w:rsidR="006D4899">
          <w:headerReference w:type="even" r:id="rId15"/>
          <w:footerReference w:type="even" r:id="rId16"/>
          <w:footerReference w:type="default" r:id="rId17"/>
          <w:pgSz w:w="11906" w:h="16838"/>
          <w:pgMar w:top="2174" w:right="1023" w:bottom="1495" w:left="1419" w:header="1448" w:footer="1161" w:gutter="0"/>
          <w:pgNumType w:fmt="upperRoman" w:start="1"/>
          <w:cols w:space="425"/>
          <w:docGrid w:type="lines" w:linePitch="312"/>
        </w:sectPr>
      </w:pPr>
    </w:p>
    <w:p w14:paraId="68433237" w14:textId="77777777" w:rsidR="006D4899" w:rsidRDefault="00000000">
      <w:pPr>
        <w:pStyle w:val="1"/>
        <w:widowControl/>
        <w:tabs>
          <w:tab w:val="right" w:pos="9784"/>
        </w:tabs>
        <w:autoSpaceDE/>
        <w:autoSpaceDN/>
        <w:ind w:left="0"/>
        <w:rPr>
          <w:rFonts w:hAnsi="Calibri"/>
          <w:lang w:eastAsia="zh-CN"/>
        </w:rPr>
      </w:pPr>
      <w:bookmarkStart w:id="5" w:name="_Toc4451"/>
      <w:r>
        <w:rPr>
          <w:rFonts w:hAnsi="Calibri" w:hint="eastAsia"/>
          <w:lang w:eastAsia="zh-CN"/>
        </w:rPr>
        <w:lastRenderedPageBreak/>
        <w:t>PCR实验室医疗废弃物处置</w:t>
      </w:r>
      <w:bookmarkEnd w:id="5"/>
      <w:r>
        <w:rPr>
          <w:rFonts w:hAnsi="Calibri" w:hint="eastAsia"/>
          <w:lang w:eastAsia="zh-CN"/>
        </w:rPr>
        <w:t>规程</w:t>
      </w:r>
    </w:p>
    <w:p w14:paraId="74EA560C" w14:textId="77777777" w:rsidR="006D4899" w:rsidRDefault="00000000">
      <w:pPr>
        <w:pStyle w:val="a0"/>
        <w:numPr>
          <w:ilvl w:val="0"/>
          <w:numId w:val="0"/>
        </w:numPr>
        <w:spacing w:before="304" w:after="304"/>
        <w:outlineLvl w:val="0"/>
        <w:rPr>
          <w:szCs w:val="22"/>
        </w:rPr>
      </w:pPr>
      <w:bookmarkStart w:id="6" w:name="_Toc18533"/>
      <w:r>
        <w:rPr>
          <w:rFonts w:hint="eastAsia"/>
          <w:szCs w:val="22"/>
        </w:rPr>
        <w:t>1 范围</w:t>
      </w:r>
      <w:bookmarkEnd w:id="6"/>
      <w:r>
        <w:rPr>
          <w:rFonts w:hint="eastAsia"/>
          <w:szCs w:val="22"/>
        </w:rPr>
        <w:t xml:space="preserve"> </w:t>
      </w:r>
    </w:p>
    <w:p w14:paraId="5CF4040B" w14:textId="77777777" w:rsidR="006D4899" w:rsidRDefault="00000000">
      <w:pPr>
        <w:pStyle w:val="a5"/>
        <w:spacing w:line="288" w:lineRule="auto"/>
        <w:ind w:firstLineChars="200" w:firstLine="420"/>
        <w:jc w:val="both"/>
        <w:rPr>
          <w:lang w:eastAsia="zh-CN"/>
        </w:rPr>
      </w:pPr>
      <w:r>
        <w:rPr>
          <w:rFonts w:hint="eastAsia"/>
          <w:lang w:eastAsia="zh-CN"/>
        </w:rPr>
        <w:t xml:space="preserve">本标准规定了PCR实验室医疗废弃物处置的术语和定义、PCR实验室医疗废弃物管理要求、医疗废弃物分类、收集、转运、存放、处置和记录等技术要求。 </w:t>
      </w:r>
    </w:p>
    <w:p w14:paraId="184BF33D" w14:textId="77777777" w:rsidR="006D4899" w:rsidRDefault="00000000">
      <w:pPr>
        <w:pStyle w:val="a5"/>
        <w:spacing w:line="288" w:lineRule="auto"/>
        <w:ind w:firstLineChars="200" w:firstLine="420"/>
        <w:jc w:val="both"/>
        <w:rPr>
          <w:lang w:eastAsia="zh-CN"/>
        </w:rPr>
      </w:pPr>
      <w:r>
        <w:rPr>
          <w:rFonts w:hint="eastAsia"/>
          <w:lang w:eastAsia="zh-CN"/>
        </w:rPr>
        <w:t>本标准适用于PCR实验室医疗废弃物的处置。</w:t>
      </w:r>
    </w:p>
    <w:p w14:paraId="34BF2B73" w14:textId="77777777" w:rsidR="006D4899" w:rsidRDefault="00000000">
      <w:pPr>
        <w:pStyle w:val="a5"/>
        <w:spacing w:line="288" w:lineRule="auto"/>
        <w:ind w:firstLineChars="200" w:firstLine="420"/>
        <w:jc w:val="both"/>
        <w:rPr>
          <w:lang w:eastAsia="zh-CN"/>
        </w:rPr>
      </w:pPr>
      <w:r>
        <w:rPr>
          <w:rFonts w:hint="eastAsia"/>
          <w:lang w:eastAsia="zh-CN"/>
        </w:rPr>
        <w:t>本标准不涉及转交给医疗废物处置单位以后的各个环节。</w:t>
      </w:r>
    </w:p>
    <w:p w14:paraId="24F2AEC6" w14:textId="77777777" w:rsidR="006D4899" w:rsidRDefault="00000000">
      <w:pPr>
        <w:pStyle w:val="a5"/>
        <w:spacing w:line="288" w:lineRule="auto"/>
        <w:ind w:firstLineChars="200" w:firstLine="420"/>
        <w:jc w:val="both"/>
        <w:rPr>
          <w:rFonts w:ascii="微软雅黑" w:eastAsia="微软雅黑" w:hAnsi="微软雅黑" w:cs="微软雅黑"/>
          <w:color w:val="000000"/>
          <w:kern w:val="2"/>
          <w:szCs w:val="22"/>
          <w:lang w:eastAsia="zh-CN" w:bidi="ar"/>
        </w:rPr>
      </w:pPr>
      <w:r>
        <w:rPr>
          <w:rFonts w:hint="eastAsia"/>
          <w:lang w:eastAsia="zh-CN"/>
        </w:rPr>
        <w:t>本标准不涉及实验室消毒和灭菌的具体操作。</w:t>
      </w:r>
    </w:p>
    <w:p w14:paraId="0D27AD29" w14:textId="77777777" w:rsidR="006D4899" w:rsidRDefault="00000000">
      <w:pPr>
        <w:pStyle w:val="a0"/>
        <w:numPr>
          <w:ilvl w:val="0"/>
          <w:numId w:val="0"/>
        </w:numPr>
        <w:spacing w:before="304" w:after="304"/>
        <w:outlineLvl w:val="0"/>
        <w:rPr>
          <w:szCs w:val="22"/>
        </w:rPr>
      </w:pPr>
      <w:bookmarkStart w:id="7" w:name="_Toc8687"/>
      <w:r>
        <w:rPr>
          <w:rFonts w:hint="eastAsia"/>
          <w:szCs w:val="22"/>
        </w:rPr>
        <w:t>2 规范性引用文件</w:t>
      </w:r>
      <w:bookmarkEnd w:id="7"/>
      <w:r>
        <w:rPr>
          <w:rFonts w:hint="eastAsia"/>
          <w:szCs w:val="22"/>
        </w:rPr>
        <w:t xml:space="preserve"> </w:t>
      </w:r>
    </w:p>
    <w:p w14:paraId="462ABF75" w14:textId="77777777" w:rsidR="006D4899" w:rsidRDefault="00000000">
      <w:pPr>
        <w:pStyle w:val="a5"/>
        <w:spacing w:line="288" w:lineRule="auto"/>
        <w:ind w:firstLineChars="200" w:firstLine="420"/>
        <w:jc w:val="both"/>
        <w:rPr>
          <w:lang w:eastAsia="zh-CN"/>
        </w:rPr>
      </w:pPr>
      <w:r>
        <w:rPr>
          <w:rFonts w:hint="eastAsia"/>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0FFC2DE" w14:textId="77777777" w:rsidR="006D4899" w:rsidRDefault="00000000">
      <w:pPr>
        <w:pStyle w:val="a5"/>
        <w:spacing w:line="288" w:lineRule="auto"/>
        <w:ind w:firstLineChars="200" w:firstLine="420"/>
        <w:jc w:val="both"/>
        <w:rPr>
          <w:lang w:eastAsia="zh-CN"/>
        </w:rPr>
      </w:pPr>
      <w:r>
        <w:rPr>
          <w:rFonts w:hint="eastAsia"/>
          <w:lang w:eastAsia="zh-CN"/>
        </w:rPr>
        <w:t xml:space="preserve">GB 19489-2008  《 </w:t>
      </w:r>
      <w:r>
        <w:rPr>
          <w:lang w:eastAsia="zh-CN"/>
        </w:rPr>
        <w:t>实验室 生物安全通用要求</w:t>
      </w:r>
      <w:r>
        <w:rPr>
          <w:rFonts w:hint="eastAsia"/>
          <w:lang w:eastAsia="zh-CN"/>
        </w:rPr>
        <w:t>》</w:t>
      </w:r>
    </w:p>
    <w:p w14:paraId="1EE3B6E9" w14:textId="77777777" w:rsidR="006D4899" w:rsidRDefault="00000000">
      <w:pPr>
        <w:pStyle w:val="a5"/>
        <w:spacing w:line="288" w:lineRule="auto"/>
        <w:ind w:firstLineChars="200" w:firstLine="420"/>
        <w:jc w:val="both"/>
        <w:rPr>
          <w:lang w:eastAsia="zh-CN"/>
        </w:rPr>
      </w:pPr>
      <w:r>
        <w:rPr>
          <w:lang w:eastAsia="zh-CN"/>
        </w:rPr>
        <w:t>卫</w:t>
      </w:r>
      <w:proofErr w:type="gramStart"/>
      <w:r>
        <w:rPr>
          <w:lang w:eastAsia="zh-CN"/>
        </w:rPr>
        <w:t>医</w:t>
      </w:r>
      <w:proofErr w:type="gramEnd"/>
      <w:r>
        <w:rPr>
          <w:lang w:eastAsia="zh-CN"/>
        </w:rPr>
        <w:t>发</w:t>
      </w:r>
      <w:r>
        <w:rPr>
          <w:rFonts w:hint="eastAsia"/>
          <w:lang w:eastAsia="zh-CN"/>
        </w:rPr>
        <w:t>〔</w:t>
      </w:r>
      <w:r>
        <w:rPr>
          <w:lang w:eastAsia="zh-CN"/>
        </w:rPr>
        <w:t>2010</w:t>
      </w:r>
      <w:r>
        <w:rPr>
          <w:rFonts w:hint="eastAsia"/>
          <w:lang w:eastAsia="zh-CN"/>
        </w:rPr>
        <w:t>〕</w:t>
      </w:r>
      <w:r>
        <w:rPr>
          <w:lang w:eastAsia="zh-CN"/>
        </w:rPr>
        <w:t>194号</w:t>
      </w:r>
      <w:r>
        <w:rPr>
          <w:rFonts w:hint="eastAsia"/>
          <w:lang w:eastAsia="zh-CN"/>
        </w:rPr>
        <w:t xml:space="preserve">  </w:t>
      </w:r>
      <w:r>
        <w:rPr>
          <w:lang w:eastAsia="zh-CN"/>
        </w:rPr>
        <w:t>《医疗机构临床基因扩增实验室管理办法》</w:t>
      </w:r>
    </w:p>
    <w:p w14:paraId="20ECD0A7" w14:textId="77777777" w:rsidR="006D4899" w:rsidRDefault="00000000">
      <w:pPr>
        <w:pStyle w:val="a5"/>
        <w:spacing w:line="288" w:lineRule="auto"/>
        <w:ind w:firstLineChars="200" w:firstLine="420"/>
        <w:jc w:val="both"/>
        <w:rPr>
          <w:lang w:eastAsia="zh-CN"/>
        </w:rPr>
      </w:pPr>
      <w:r>
        <w:rPr>
          <w:lang w:eastAsia="zh-CN"/>
        </w:rPr>
        <w:t>HJ 421-2008</w:t>
      </w:r>
      <w:r>
        <w:rPr>
          <w:rFonts w:hint="eastAsia"/>
          <w:lang w:eastAsia="zh-CN"/>
        </w:rPr>
        <w:t xml:space="preserve">  《</w:t>
      </w:r>
      <w:r>
        <w:rPr>
          <w:lang w:eastAsia="zh-CN"/>
        </w:rPr>
        <w:t>医疗废物专用包装袋 容器和警示标志标准</w:t>
      </w:r>
      <w:r>
        <w:rPr>
          <w:rFonts w:hint="eastAsia"/>
          <w:lang w:eastAsia="zh-CN"/>
        </w:rPr>
        <w:t xml:space="preserve"> 》 </w:t>
      </w:r>
    </w:p>
    <w:p w14:paraId="380D5F80" w14:textId="77777777" w:rsidR="006D4899" w:rsidRDefault="00000000">
      <w:pPr>
        <w:pStyle w:val="a5"/>
        <w:spacing w:line="288" w:lineRule="auto"/>
        <w:ind w:firstLineChars="200" w:firstLine="420"/>
        <w:jc w:val="both"/>
        <w:rPr>
          <w:lang w:eastAsia="zh-CN"/>
        </w:rPr>
      </w:pPr>
      <w:hyperlink r:id="rId18" w:tgtFrame="https://std.samr.gov.cn/search/_blank" w:history="1">
        <w:r>
          <w:rPr>
            <w:lang w:eastAsia="zh-CN"/>
          </w:rPr>
          <w:t>GB 18466-2005  </w:t>
        </w:r>
      </w:hyperlink>
      <w:r>
        <w:rPr>
          <w:rFonts w:hint="eastAsia"/>
          <w:lang w:eastAsia="zh-CN"/>
        </w:rPr>
        <w:t>《</w:t>
      </w:r>
      <w:r>
        <w:rPr>
          <w:lang w:eastAsia="zh-CN"/>
        </w:rPr>
        <w:t>医疗机构水污染物排放标准</w:t>
      </w:r>
      <w:r>
        <w:rPr>
          <w:rFonts w:hint="eastAsia"/>
          <w:lang w:eastAsia="zh-CN"/>
        </w:rPr>
        <w:t>》</w:t>
      </w:r>
    </w:p>
    <w:p w14:paraId="74157A41" w14:textId="77777777" w:rsidR="006D4899" w:rsidRDefault="00000000">
      <w:pPr>
        <w:pStyle w:val="a5"/>
        <w:spacing w:line="288" w:lineRule="auto"/>
        <w:ind w:firstLineChars="200" w:firstLine="420"/>
        <w:jc w:val="both"/>
        <w:rPr>
          <w:rFonts w:ascii="微软雅黑" w:eastAsia="微软雅黑" w:hAnsi="微软雅黑" w:cs="微软雅黑"/>
          <w:b/>
          <w:bCs/>
          <w:color w:val="000000"/>
          <w:kern w:val="2"/>
          <w:sz w:val="24"/>
          <w:szCs w:val="28"/>
          <w:lang w:eastAsia="zh-CN" w:bidi="ar"/>
        </w:rPr>
      </w:pPr>
      <w:r>
        <w:rPr>
          <w:rFonts w:hint="eastAsia"/>
          <w:lang w:eastAsia="zh-CN"/>
        </w:rPr>
        <w:t xml:space="preserve">中华人民共和国国务院令第380号  《医疗废物管理条例》   </w:t>
      </w:r>
      <w:r>
        <w:rPr>
          <w:lang w:eastAsia="zh-CN"/>
        </w:rPr>
        <w:t> </w:t>
      </w:r>
      <w:r>
        <w:rPr>
          <w:rFonts w:hint="eastAsia"/>
          <w:lang w:eastAsia="zh-CN"/>
        </w:rPr>
        <w:t xml:space="preserve"> </w:t>
      </w:r>
      <w:r>
        <w:rPr>
          <w:rFonts w:hint="eastAsia"/>
          <w:w w:val="95"/>
          <w:szCs w:val="22"/>
          <w:lang w:eastAsia="zh-CN"/>
        </w:rPr>
        <w:t xml:space="preserve"> </w:t>
      </w:r>
    </w:p>
    <w:p w14:paraId="76FFF7C3" w14:textId="77777777" w:rsidR="006D4899" w:rsidRDefault="00000000">
      <w:pPr>
        <w:pStyle w:val="a5"/>
        <w:spacing w:line="288" w:lineRule="auto"/>
        <w:ind w:firstLineChars="200" w:firstLine="420"/>
        <w:jc w:val="both"/>
        <w:rPr>
          <w:lang w:eastAsia="zh-CN"/>
        </w:rPr>
      </w:pPr>
      <w:r>
        <w:rPr>
          <w:rFonts w:hint="eastAsia"/>
          <w:lang w:eastAsia="zh-CN"/>
        </w:rPr>
        <w:t>卫</w:t>
      </w:r>
      <w:proofErr w:type="gramStart"/>
      <w:r>
        <w:rPr>
          <w:rFonts w:hint="eastAsia"/>
          <w:lang w:eastAsia="zh-CN"/>
        </w:rPr>
        <w:t>医</w:t>
      </w:r>
      <w:proofErr w:type="gramEnd"/>
      <w:r>
        <w:rPr>
          <w:rFonts w:hint="eastAsia"/>
          <w:lang w:eastAsia="zh-CN"/>
        </w:rPr>
        <w:t>发〔2003〕287号  《医疗废物分类目录》</w:t>
      </w:r>
    </w:p>
    <w:p w14:paraId="54D0E043" w14:textId="77777777" w:rsidR="006D4899" w:rsidRDefault="006D4899">
      <w:pPr>
        <w:spacing w:line="288" w:lineRule="auto"/>
        <w:rPr>
          <w:lang w:eastAsia="zh-CN"/>
        </w:rPr>
      </w:pPr>
    </w:p>
    <w:p w14:paraId="6C383DE2" w14:textId="77777777" w:rsidR="006D4899" w:rsidRDefault="00000000">
      <w:pPr>
        <w:pStyle w:val="a0"/>
        <w:numPr>
          <w:ilvl w:val="0"/>
          <w:numId w:val="0"/>
        </w:numPr>
        <w:spacing w:before="304" w:after="304"/>
        <w:outlineLvl w:val="0"/>
        <w:rPr>
          <w:szCs w:val="22"/>
        </w:rPr>
      </w:pPr>
      <w:bookmarkStart w:id="8" w:name="_Toc15570"/>
      <w:r>
        <w:rPr>
          <w:rFonts w:hint="eastAsia"/>
          <w:szCs w:val="22"/>
        </w:rPr>
        <w:t>3 术语和定义</w:t>
      </w:r>
      <w:bookmarkEnd w:id="8"/>
      <w:r>
        <w:rPr>
          <w:rFonts w:hint="eastAsia"/>
          <w:szCs w:val="22"/>
        </w:rPr>
        <w:t xml:space="preserve"> </w:t>
      </w:r>
    </w:p>
    <w:p w14:paraId="44AAF53F" w14:textId="77777777" w:rsidR="006D4899" w:rsidRDefault="00000000">
      <w:pPr>
        <w:pStyle w:val="a5"/>
        <w:spacing w:line="288" w:lineRule="auto"/>
        <w:ind w:firstLineChars="200" w:firstLine="420"/>
        <w:jc w:val="both"/>
        <w:rPr>
          <w:lang w:eastAsia="zh-CN"/>
        </w:rPr>
      </w:pPr>
      <w:r>
        <w:rPr>
          <w:rFonts w:hint="eastAsia"/>
          <w:lang w:eastAsia="zh-CN"/>
        </w:rPr>
        <w:t xml:space="preserve">下列术语和定义适用于本文件。 </w:t>
      </w:r>
    </w:p>
    <w:p w14:paraId="6D8F4C53" w14:textId="77777777" w:rsidR="006D4899" w:rsidRDefault="00000000">
      <w:pPr>
        <w:pStyle w:val="a5"/>
        <w:spacing w:line="288" w:lineRule="auto"/>
        <w:jc w:val="both"/>
        <w:rPr>
          <w:rFonts w:ascii="黑体" w:eastAsia="黑体" w:hAnsi="黑体" w:cs="黑体"/>
          <w:lang w:eastAsia="zh-CN"/>
        </w:rPr>
      </w:pPr>
      <w:r>
        <w:rPr>
          <w:rFonts w:ascii="黑体" w:eastAsia="黑体" w:hAnsi="黑体" w:cs="黑体" w:hint="eastAsia"/>
          <w:lang w:eastAsia="zh-CN"/>
        </w:rPr>
        <w:t xml:space="preserve">3.1 </w:t>
      </w:r>
    </w:p>
    <w:p w14:paraId="2D6FEF36" w14:textId="77777777" w:rsidR="006D4899" w:rsidRDefault="00000000">
      <w:pPr>
        <w:widowControl/>
        <w:autoSpaceDE/>
        <w:autoSpaceDN/>
        <w:spacing w:after="187" w:line="288" w:lineRule="auto"/>
        <w:ind w:left="-5" w:hanging="10"/>
        <w:rPr>
          <w:rFonts w:ascii="微软雅黑" w:eastAsia="微软雅黑" w:hAnsi="微软雅黑" w:cs="微软雅黑"/>
          <w:b/>
          <w:bCs/>
          <w:color w:val="000000"/>
          <w:kern w:val="2"/>
          <w:sz w:val="24"/>
          <w:szCs w:val="28"/>
          <w:lang w:eastAsia="zh-CN" w:bidi="ar"/>
        </w:rPr>
      </w:pPr>
      <w:r>
        <w:rPr>
          <w:rFonts w:ascii="微软雅黑" w:eastAsia="微软雅黑" w:hAnsi="微软雅黑" w:cs="微软雅黑" w:hint="eastAsia"/>
          <w:b/>
          <w:bCs/>
          <w:color w:val="000000"/>
          <w:kern w:val="2"/>
          <w:sz w:val="24"/>
          <w:szCs w:val="28"/>
          <w:lang w:eastAsia="zh-CN" w:bidi="ar"/>
        </w:rPr>
        <w:t xml:space="preserve"> </w:t>
      </w:r>
      <w:r>
        <w:rPr>
          <w:rFonts w:ascii="黑体" w:eastAsia="黑体" w:hAnsi="黑体" w:cs="黑体" w:hint="eastAsia"/>
          <w:sz w:val="21"/>
          <w:szCs w:val="21"/>
          <w:lang w:eastAsia="zh-CN"/>
        </w:rPr>
        <w:t>PCR</w:t>
      </w:r>
    </w:p>
    <w:p w14:paraId="3A38A330" w14:textId="77777777" w:rsidR="006D4899" w:rsidRDefault="00000000">
      <w:pPr>
        <w:pStyle w:val="a5"/>
        <w:spacing w:line="288" w:lineRule="auto"/>
        <w:ind w:firstLineChars="200" w:firstLine="420"/>
        <w:jc w:val="both"/>
        <w:rPr>
          <w:lang w:eastAsia="zh-CN"/>
        </w:rPr>
      </w:pPr>
      <w:r>
        <w:rPr>
          <w:lang w:eastAsia="zh-CN"/>
        </w:rPr>
        <w:t>PCR是</w:t>
      </w:r>
      <w:r>
        <w:rPr>
          <w:lang w:eastAsia="zh-CN"/>
        </w:rPr>
        <w:fldChar w:fldCharType="begin"/>
      </w:r>
      <w:r>
        <w:rPr>
          <w:lang w:eastAsia="zh-CN"/>
        </w:rPr>
        <w:instrText xml:space="preserve"> HYPERLINK "https://baike.so.com/doc/2711027-2862138.html" \t "https://baike.so.com/doc/_blank" </w:instrText>
      </w:r>
      <w:r>
        <w:rPr>
          <w:lang w:eastAsia="zh-CN"/>
        </w:rPr>
      </w:r>
      <w:r>
        <w:rPr>
          <w:lang w:eastAsia="zh-CN"/>
        </w:rPr>
        <w:fldChar w:fldCharType="separate"/>
      </w:r>
      <w:r>
        <w:rPr>
          <w:lang w:eastAsia="zh-CN"/>
        </w:rPr>
        <w:t>聚合酶链式反应</w:t>
      </w:r>
      <w:r>
        <w:rPr>
          <w:lang w:eastAsia="zh-CN"/>
        </w:rPr>
        <w:fldChar w:fldCharType="end"/>
      </w:r>
      <w:r>
        <w:rPr>
          <w:lang w:eastAsia="zh-CN"/>
        </w:rPr>
        <w:t>(Polymerase Chain Reaction)的简称</w:t>
      </w:r>
      <w:r>
        <w:rPr>
          <w:rFonts w:hint="eastAsia"/>
          <w:lang w:eastAsia="zh-CN"/>
        </w:rPr>
        <w:t>，</w:t>
      </w:r>
      <w:r>
        <w:rPr>
          <w:lang w:eastAsia="zh-CN"/>
        </w:rPr>
        <w:t>是一种用于放大扩增特定的DNA片段的</w:t>
      </w:r>
      <w:r>
        <w:rPr>
          <w:lang w:eastAsia="zh-CN"/>
        </w:rPr>
        <w:fldChar w:fldCharType="begin"/>
      </w:r>
      <w:r>
        <w:rPr>
          <w:lang w:eastAsia="zh-CN"/>
        </w:rPr>
        <w:instrText xml:space="preserve"> HYPERLINK "https://baike.so.com/doc/6587486-6801259.html" \t "https://baike.so.com/doc/_blank" </w:instrText>
      </w:r>
      <w:r>
        <w:rPr>
          <w:lang w:eastAsia="zh-CN"/>
        </w:rPr>
      </w:r>
      <w:r>
        <w:rPr>
          <w:lang w:eastAsia="zh-CN"/>
        </w:rPr>
        <w:fldChar w:fldCharType="separate"/>
      </w:r>
      <w:r>
        <w:rPr>
          <w:lang w:eastAsia="zh-CN"/>
        </w:rPr>
        <w:t>分子生物学技术</w:t>
      </w:r>
      <w:r>
        <w:rPr>
          <w:lang w:eastAsia="zh-CN"/>
        </w:rPr>
        <w:fldChar w:fldCharType="end"/>
      </w:r>
      <w:r>
        <w:rPr>
          <w:lang w:eastAsia="zh-CN"/>
        </w:rPr>
        <w:t>，它可看作是生物体外的特殊DNA复制。PCR(聚合酶链式反应)是利用DNA在体外95°C高温时变性会变成单链，低温(经常是60°C左右)时引物与单链按</w:t>
      </w:r>
      <w:r>
        <w:rPr>
          <w:lang w:eastAsia="zh-CN"/>
        </w:rPr>
        <w:fldChar w:fldCharType="begin"/>
      </w:r>
      <w:r>
        <w:rPr>
          <w:lang w:eastAsia="zh-CN"/>
        </w:rPr>
        <w:instrText xml:space="preserve"> HYPERLINK "https://baike.so.com/doc/2266039-2397323.html" \t "https://baike.so.com/doc/_blank" </w:instrText>
      </w:r>
      <w:r>
        <w:rPr>
          <w:lang w:eastAsia="zh-CN"/>
        </w:rPr>
      </w:r>
      <w:r>
        <w:rPr>
          <w:lang w:eastAsia="zh-CN"/>
        </w:rPr>
        <w:fldChar w:fldCharType="separate"/>
      </w:r>
      <w:r>
        <w:rPr>
          <w:lang w:eastAsia="zh-CN"/>
        </w:rPr>
        <w:t>碱基</w:t>
      </w:r>
      <w:r>
        <w:rPr>
          <w:lang w:eastAsia="zh-CN"/>
        </w:rPr>
        <w:fldChar w:fldCharType="end"/>
      </w:r>
      <w:r>
        <w:rPr>
          <w:lang w:eastAsia="zh-CN"/>
        </w:rPr>
        <w:t>互补配对的原则结合，再调</w:t>
      </w:r>
      <w:hyperlink r:id="rId19" w:tgtFrame="https://baike.so.com/doc/_blank" w:history="1">
        <w:r>
          <w:rPr>
            <w:lang w:eastAsia="zh-CN"/>
          </w:rPr>
          <w:t>温度</w:t>
        </w:r>
      </w:hyperlink>
      <w:r>
        <w:rPr>
          <w:lang w:eastAsia="zh-CN"/>
        </w:rPr>
        <w:t>至DNA聚合酶</w:t>
      </w:r>
      <w:proofErr w:type="gramStart"/>
      <w:r>
        <w:rPr>
          <w:lang w:eastAsia="zh-CN"/>
        </w:rPr>
        <w:t>最</w:t>
      </w:r>
      <w:proofErr w:type="gramEnd"/>
      <w:r>
        <w:rPr>
          <w:lang w:eastAsia="zh-CN"/>
        </w:rPr>
        <w:t>适反应温度(72°C左右)，DNA聚合酶沿着磷酸到五碳糖(5'-3')的方向合成互补链。基于聚合酶制造的PCR仪实际就是一个温控设备，能在变性温度，复性温度，延伸温度之间很好地进行控制。</w:t>
      </w:r>
    </w:p>
    <w:p w14:paraId="29D94799" w14:textId="77777777" w:rsidR="006D4899" w:rsidRDefault="00000000">
      <w:pPr>
        <w:pStyle w:val="a5"/>
        <w:spacing w:line="288" w:lineRule="auto"/>
        <w:jc w:val="both"/>
        <w:rPr>
          <w:rFonts w:ascii="黑体" w:eastAsia="黑体" w:hAnsi="黑体" w:cs="黑体"/>
          <w:lang w:eastAsia="zh-CN"/>
        </w:rPr>
      </w:pPr>
      <w:r>
        <w:rPr>
          <w:rFonts w:ascii="黑体" w:eastAsia="黑体" w:hAnsi="黑体" w:cs="黑体" w:hint="eastAsia"/>
          <w:lang w:eastAsia="zh-CN"/>
        </w:rPr>
        <w:t xml:space="preserve">3.2  </w:t>
      </w:r>
    </w:p>
    <w:p w14:paraId="0F9C8649" w14:textId="77777777" w:rsidR="006D4899" w:rsidRDefault="00000000">
      <w:pPr>
        <w:pStyle w:val="a5"/>
        <w:spacing w:line="288" w:lineRule="auto"/>
        <w:jc w:val="both"/>
        <w:rPr>
          <w:rFonts w:ascii="黑体" w:eastAsia="黑体" w:hAnsi="黑体" w:cs="黑体"/>
          <w:lang w:eastAsia="zh-CN"/>
        </w:rPr>
      </w:pPr>
      <w:r>
        <w:rPr>
          <w:rFonts w:ascii="黑体" w:eastAsia="黑体" w:hAnsi="黑体" w:cs="黑体" w:hint="eastAsia"/>
          <w:lang w:eastAsia="zh-CN"/>
        </w:rPr>
        <w:t>PCR实验室</w:t>
      </w:r>
    </w:p>
    <w:p w14:paraId="02D85FDC" w14:textId="77777777" w:rsidR="006D4899" w:rsidRDefault="00000000">
      <w:pPr>
        <w:pStyle w:val="a5"/>
        <w:spacing w:line="288" w:lineRule="auto"/>
        <w:ind w:firstLineChars="200" w:firstLine="420"/>
        <w:jc w:val="both"/>
        <w:rPr>
          <w:lang w:eastAsia="zh-CN"/>
        </w:rPr>
      </w:pPr>
      <w:r>
        <w:rPr>
          <w:lang w:eastAsia="zh-CN"/>
        </w:rPr>
        <w:t>PCR实验室又叫</w:t>
      </w:r>
      <w:r>
        <w:rPr>
          <w:lang w:eastAsia="zh-CN"/>
        </w:rPr>
        <w:fldChar w:fldCharType="begin"/>
      </w:r>
      <w:r>
        <w:rPr>
          <w:lang w:eastAsia="zh-CN"/>
        </w:rPr>
        <w:instrText xml:space="preserve"> HYPERLINK "https://baike.so.com/doc/9348644-9685905.html" \t "https://baike.so.com/doc/_blank" </w:instrText>
      </w:r>
      <w:r>
        <w:rPr>
          <w:lang w:eastAsia="zh-CN"/>
        </w:rPr>
      </w:r>
      <w:r>
        <w:rPr>
          <w:lang w:eastAsia="zh-CN"/>
        </w:rPr>
        <w:fldChar w:fldCharType="separate"/>
      </w:r>
      <w:r>
        <w:rPr>
          <w:lang w:eastAsia="zh-CN"/>
        </w:rPr>
        <w:t>基因扩增</w:t>
      </w:r>
      <w:r>
        <w:rPr>
          <w:lang w:eastAsia="zh-CN"/>
        </w:rPr>
        <w:fldChar w:fldCharType="end"/>
      </w:r>
      <w:r>
        <w:rPr>
          <w:lang w:eastAsia="zh-CN"/>
        </w:rPr>
        <w:t>实验室</w:t>
      </w:r>
      <w:r>
        <w:rPr>
          <w:rFonts w:hint="eastAsia"/>
          <w:lang w:eastAsia="zh-CN"/>
        </w:rPr>
        <w:t>，</w:t>
      </w:r>
      <w:r>
        <w:rPr>
          <w:lang w:eastAsia="zh-CN"/>
        </w:rPr>
        <w:t>是指通过扩增检测特定的DNA或RNA，进行</w:t>
      </w:r>
      <w:r>
        <w:rPr>
          <w:rFonts w:hint="eastAsia"/>
          <w:lang w:eastAsia="zh-CN"/>
        </w:rPr>
        <w:t>病原体检测、</w:t>
      </w:r>
      <w:r>
        <w:rPr>
          <w:lang w:eastAsia="zh-CN"/>
        </w:rPr>
        <w:t>疾病诊断、治疗监测和预后判定等的实验室。</w:t>
      </w:r>
    </w:p>
    <w:p w14:paraId="41E23D62" w14:textId="77777777" w:rsidR="006D4899" w:rsidRDefault="00000000">
      <w:pPr>
        <w:widowControl/>
        <w:autoSpaceDE/>
        <w:autoSpaceDN/>
        <w:spacing w:after="187" w:line="288" w:lineRule="auto"/>
        <w:ind w:left="-6" w:hanging="11"/>
        <w:rPr>
          <w:rFonts w:ascii="黑体" w:eastAsia="黑体" w:hAnsi="黑体" w:cs="黑体"/>
          <w:sz w:val="21"/>
          <w:szCs w:val="21"/>
          <w:lang w:eastAsia="zh-CN"/>
        </w:rPr>
      </w:pPr>
      <w:r>
        <w:rPr>
          <w:rFonts w:ascii="黑体" w:eastAsia="黑体" w:hAnsi="黑体" w:cs="黑体" w:hint="eastAsia"/>
          <w:sz w:val="21"/>
          <w:szCs w:val="21"/>
          <w:lang w:eastAsia="zh-CN"/>
        </w:rPr>
        <w:lastRenderedPageBreak/>
        <w:t xml:space="preserve">3.3 </w:t>
      </w:r>
    </w:p>
    <w:p w14:paraId="1F59B6DE" w14:textId="77777777" w:rsidR="006D4899" w:rsidRDefault="00000000">
      <w:pPr>
        <w:widowControl/>
        <w:autoSpaceDE/>
        <w:autoSpaceDN/>
        <w:spacing w:after="187" w:line="288" w:lineRule="auto"/>
        <w:ind w:left="-6" w:hanging="11"/>
        <w:rPr>
          <w:rFonts w:ascii="微软雅黑" w:eastAsia="微软雅黑" w:hAnsi="微软雅黑" w:cs="微软雅黑"/>
          <w:b/>
          <w:bCs/>
          <w:color w:val="000000"/>
          <w:kern w:val="2"/>
          <w:sz w:val="24"/>
          <w:szCs w:val="28"/>
          <w:lang w:eastAsia="zh-CN" w:bidi="ar"/>
        </w:rPr>
      </w:pPr>
      <w:r>
        <w:rPr>
          <w:rFonts w:ascii="黑体" w:eastAsia="黑体" w:hAnsi="黑体" w:cs="黑体" w:hint="eastAsia"/>
          <w:sz w:val="21"/>
          <w:szCs w:val="21"/>
          <w:lang w:eastAsia="zh-CN"/>
        </w:rPr>
        <w:t>医疗废弃物</w:t>
      </w:r>
      <w:r>
        <w:rPr>
          <w:rFonts w:ascii="微软雅黑" w:eastAsia="微软雅黑" w:hAnsi="微软雅黑" w:cs="微软雅黑" w:hint="eastAsia"/>
          <w:b/>
          <w:bCs/>
          <w:color w:val="000000"/>
          <w:kern w:val="2"/>
          <w:sz w:val="24"/>
          <w:szCs w:val="28"/>
          <w:lang w:eastAsia="zh-CN" w:bidi="ar"/>
        </w:rPr>
        <w:t xml:space="preserve"> </w:t>
      </w:r>
    </w:p>
    <w:p w14:paraId="4FC91A18" w14:textId="77777777" w:rsidR="006D4899" w:rsidRDefault="00000000">
      <w:pPr>
        <w:pStyle w:val="a5"/>
        <w:spacing w:line="288" w:lineRule="auto"/>
        <w:ind w:firstLineChars="200" w:firstLine="420"/>
        <w:jc w:val="both"/>
        <w:rPr>
          <w:lang w:eastAsia="zh-CN"/>
        </w:rPr>
      </w:pPr>
      <w:r>
        <w:rPr>
          <w:rFonts w:hint="eastAsia"/>
          <w:lang w:eastAsia="zh-CN"/>
        </w:rPr>
        <w:t>指</w:t>
      </w:r>
      <w:hyperlink r:id="rId20" w:tgtFrame="https://baike.so.com/doc/_blank" w:history="1">
        <w:r>
          <w:rPr>
            <w:lang w:eastAsia="zh-CN"/>
          </w:rPr>
          <w:t>医疗卫生机构</w:t>
        </w:r>
      </w:hyperlink>
      <w:r>
        <w:rPr>
          <w:lang w:eastAsia="zh-CN"/>
        </w:rPr>
        <w:t>在医疗、预防、保健以及其他相关活动中产生的具有直接或者间接感染性、毒性以及其他危害性的废物</w:t>
      </w:r>
      <w:r>
        <w:rPr>
          <w:rFonts w:hint="eastAsia"/>
          <w:lang w:eastAsia="zh-CN"/>
        </w:rPr>
        <w:t>。</w:t>
      </w:r>
    </w:p>
    <w:p w14:paraId="70FAF471" w14:textId="77777777" w:rsidR="006D4899" w:rsidRDefault="00000000">
      <w:pPr>
        <w:pStyle w:val="a0"/>
        <w:numPr>
          <w:ilvl w:val="0"/>
          <w:numId w:val="0"/>
        </w:numPr>
        <w:spacing w:before="304" w:after="304"/>
        <w:outlineLvl w:val="0"/>
        <w:rPr>
          <w:szCs w:val="22"/>
        </w:rPr>
      </w:pPr>
      <w:bookmarkStart w:id="9" w:name="_Toc19475"/>
      <w:r>
        <w:rPr>
          <w:rFonts w:hint="eastAsia"/>
          <w:szCs w:val="22"/>
        </w:rPr>
        <w:t>4  PCR实验室医疗废弃物管理要求</w:t>
      </w:r>
      <w:bookmarkEnd w:id="9"/>
      <w:r>
        <w:rPr>
          <w:rFonts w:hint="eastAsia"/>
          <w:szCs w:val="22"/>
        </w:rPr>
        <w:t xml:space="preserve"> </w:t>
      </w:r>
    </w:p>
    <w:p w14:paraId="66807834" w14:textId="77777777" w:rsidR="006D4899" w:rsidRDefault="00000000">
      <w:pPr>
        <w:pStyle w:val="a5"/>
        <w:spacing w:line="288" w:lineRule="auto"/>
        <w:jc w:val="both"/>
        <w:rPr>
          <w:lang w:eastAsia="zh-CN"/>
        </w:rPr>
      </w:pPr>
      <w:r>
        <w:rPr>
          <w:rFonts w:hint="eastAsia"/>
          <w:lang w:eastAsia="zh-CN"/>
        </w:rPr>
        <w:t>4.1   PCR实验室废弃物处置的管理应符合国家或地方法规要求。</w:t>
      </w:r>
    </w:p>
    <w:p w14:paraId="6990451F" w14:textId="77777777" w:rsidR="006D4899" w:rsidRDefault="00000000">
      <w:pPr>
        <w:pStyle w:val="a5"/>
        <w:spacing w:line="288" w:lineRule="auto"/>
        <w:jc w:val="both"/>
        <w:rPr>
          <w:lang w:eastAsia="zh-CN"/>
        </w:rPr>
      </w:pPr>
      <w:r>
        <w:rPr>
          <w:rFonts w:hint="eastAsia"/>
          <w:lang w:eastAsia="zh-CN"/>
        </w:rPr>
        <w:t>4.2   应制定PCR实验室医疗废弃物管理办法及流程图。</w:t>
      </w:r>
    </w:p>
    <w:p w14:paraId="5EB8951F" w14:textId="77777777" w:rsidR="006D4899" w:rsidRDefault="00000000">
      <w:pPr>
        <w:pStyle w:val="a5"/>
        <w:spacing w:line="288" w:lineRule="auto"/>
        <w:jc w:val="both"/>
        <w:rPr>
          <w:lang w:eastAsia="zh-CN"/>
        </w:rPr>
      </w:pPr>
      <w:r>
        <w:rPr>
          <w:rFonts w:hint="eastAsia"/>
          <w:lang w:eastAsia="zh-CN"/>
        </w:rPr>
        <w:t>4.3   应建立PCR实验室医疗废弃物管理台账。</w:t>
      </w:r>
    </w:p>
    <w:p w14:paraId="6A3D9E73" w14:textId="77777777" w:rsidR="006D4899" w:rsidRDefault="00000000">
      <w:pPr>
        <w:pStyle w:val="a5"/>
        <w:spacing w:line="288" w:lineRule="auto"/>
        <w:ind w:left="630" w:hangingChars="300" w:hanging="630"/>
        <w:jc w:val="both"/>
        <w:rPr>
          <w:lang w:eastAsia="zh-CN"/>
        </w:rPr>
      </w:pPr>
      <w:r>
        <w:rPr>
          <w:rFonts w:hint="eastAsia"/>
          <w:lang w:eastAsia="zh-CN"/>
        </w:rPr>
        <w:t>4.4   应制定PCR实验室医疗废弃物管理条例、安全处置规章制度、在发生意外事故时的应急方案，设置监控部门或者专(兼)职人员，负责检查、督促、落实本实验室医疗废物的管理工作。</w:t>
      </w:r>
    </w:p>
    <w:p w14:paraId="58F499F6" w14:textId="77777777" w:rsidR="006D4899" w:rsidRDefault="00000000">
      <w:pPr>
        <w:pStyle w:val="a5"/>
        <w:spacing w:line="288" w:lineRule="auto"/>
        <w:ind w:left="630" w:hangingChars="300" w:hanging="630"/>
        <w:jc w:val="both"/>
        <w:rPr>
          <w:lang w:eastAsia="zh-CN"/>
        </w:rPr>
      </w:pPr>
      <w:r>
        <w:rPr>
          <w:rFonts w:hint="eastAsia"/>
          <w:lang w:eastAsia="zh-CN"/>
        </w:rPr>
        <w:t>4.5   应建立、健全PCR实验室医疗废弃物管理责任制，其法定代表人为第一责任人，切实履行职责，防止因实验室医疗废弃物导致传染病传播和环境污染事故，应当采取有效措施，防止</w:t>
      </w:r>
      <w:proofErr w:type="spellStart"/>
      <w:r>
        <w:rPr>
          <w:rFonts w:hint="eastAsia"/>
          <w:lang w:eastAsia="zh-CN"/>
        </w:rPr>
        <w:t>PCR</w:t>
      </w:r>
      <w:proofErr w:type="spellEnd"/>
      <w:r>
        <w:rPr>
          <w:rFonts w:hint="eastAsia"/>
          <w:lang w:eastAsia="zh-CN"/>
        </w:rPr>
        <w:t>实验室医疗废弃物流失、泄漏、扩散。</w:t>
      </w:r>
    </w:p>
    <w:p w14:paraId="3AC359B2" w14:textId="77777777" w:rsidR="006D4899" w:rsidRDefault="00000000">
      <w:pPr>
        <w:pStyle w:val="a5"/>
        <w:spacing w:line="288" w:lineRule="auto"/>
        <w:ind w:left="630" w:hangingChars="300" w:hanging="630"/>
        <w:jc w:val="both"/>
        <w:rPr>
          <w:lang w:eastAsia="zh-CN"/>
        </w:rPr>
      </w:pPr>
      <w:r>
        <w:rPr>
          <w:rFonts w:hint="eastAsia"/>
          <w:lang w:eastAsia="zh-CN"/>
        </w:rPr>
        <w:t>4.6   应对从事PCR实验室医疗废弃物收集、运送、贮存等工作人员和管理人员，进行相关法律、法规和专业技术、安全防护以及紧急处理等知识的培训， PCR实验室医疗废弃物应由经过培训的人员专人管理。</w:t>
      </w:r>
    </w:p>
    <w:p w14:paraId="7354C7A5" w14:textId="77777777" w:rsidR="006D4899" w:rsidRDefault="00000000">
      <w:pPr>
        <w:pStyle w:val="a5"/>
        <w:spacing w:line="288" w:lineRule="auto"/>
        <w:ind w:left="630" w:hangingChars="300" w:hanging="630"/>
        <w:jc w:val="both"/>
        <w:rPr>
          <w:lang w:eastAsia="zh-CN"/>
        </w:rPr>
      </w:pPr>
      <w:r>
        <w:rPr>
          <w:rFonts w:hint="eastAsia"/>
          <w:lang w:eastAsia="zh-CN"/>
        </w:rPr>
        <w:t>4.7   PCR实验室应采取有效的职业卫生防护措施，保护从事医疗废弃物收集、运送、贮存等工作人员身体健康，配备必要的防护用品，定期进行健康检查；必要时，对有关人员进行免疫接种，防止其受到健康损害。</w:t>
      </w:r>
    </w:p>
    <w:p w14:paraId="167BF7CF" w14:textId="77777777" w:rsidR="006D4899" w:rsidRDefault="00000000">
      <w:pPr>
        <w:pStyle w:val="a5"/>
        <w:spacing w:line="288" w:lineRule="auto"/>
        <w:ind w:left="630" w:hangingChars="300" w:hanging="630"/>
        <w:jc w:val="both"/>
        <w:rPr>
          <w:lang w:eastAsia="zh-CN"/>
        </w:rPr>
      </w:pPr>
      <w:r>
        <w:rPr>
          <w:rFonts w:hint="eastAsia"/>
          <w:lang w:eastAsia="zh-CN"/>
        </w:rPr>
        <w:t>4.8   PCR实验室医疗废弃物应交给有资质的单位进行处置，应当依照《中华人民共和国固体废物污染环境防治法》的规定，执行危险废物转移联单管理制度。</w:t>
      </w:r>
    </w:p>
    <w:p w14:paraId="2CDE8536" w14:textId="77777777" w:rsidR="006D4899" w:rsidRDefault="00000000">
      <w:pPr>
        <w:pStyle w:val="a0"/>
        <w:numPr>
          <w:ilvl w:val="0"/>
          <w:numId w:val="0"/>
        </w:numPr>
        <w:spacing w:before="304" w:after="304"/>
        <w:outlineLvl w:val="0"/>
        <w:rPr>
          <w:szCs w:val="22"/>
        </w:rPr>
      </w:pPr>
      <w:bookmarkStart w:id="10" w:name="_Toc15177"/>
      <w:r>
        <w:rPr>
          <w:rFonts w:hint="eastAsia"/>
          <w:szCs w:val="22"/>
        </w:rPr>
        <w:t>5  医疗废弃物分类</w:t>
      </w:r>
      <w:bookmarkEnd w:id="10"/>
    </w:p>
    <w:p w14:paraId="6FA92741" w14:textId="77777777" w:rsidR="006D4899" w:rsidRDefault="00000000">
      <w:pPr>
        <w:widowControl/>
        <w:autoSpaceDE/>
        <w:autoSpaceDN/>
        <w:spacing w:after="4" w:line="288" w:lineRule="auto"/>
        <w:rPr>
          <w:sz w:val="21"/>
          <w:szCs w:val="21"/>
          <w:lang w:eastAsia="zh-CN"/>
        </w:rPr>
      </w:pPr>
      <w:r>
        <w:rPr>
          <w:rFonts w:hint="eastAsia"/>
          <w:sz w:val="21"/>
          <w:szCs w:val="21"/>
          <w:lang w:eastAsia="zh-CN"/>
        </w:rPr>
        <w:t xml:space="preserve">5.1  </w:t>
      </w:r>
      <w:r>
        <w:rPr>
          <w:sz w:val="21"/>
          <w:szCs w:val="21"/>
          <w:lang w:eastAsia="zh-CN"/>
        </w:rPr>
        <w:t>根据《医疗废物分类目录》，医疗</w:t>
      </w:r>
      <w:r>
        <w:rPr>
          <w:rFonts w:hint="eastAsia"/>
          <w:sz w:val="21"/>
          <w:szCs w:val="21"/>
          <w:lang w:eastAsia="zh-CN"/>
        </w:rPr>
        <w:t>废弃物</w:t>
      </w:r>
      <w:r>
        <w:rPr>
          <w:sz w:val="21"/>
          <w:szCs w:val="21"/>
          <w:lang w:eastAsia="zh-CN"/>
        </w:rPr>
        <w:t>主要包括：</w:t>
      </w:r>
      <w:r>
        <w:rPr>
          <w:sz w:val="21"/>
          <w:szCs w:val="21"/>
          <w:lang w:eastAsia="zh-CN"/>
        </w:rPr>
        <w:br/>
      </w:r>
      <w:r>
        <w:rPr>
          <w:rFonts w:hint="eastAsia"/>
          <w:sz w:val="21"/>
          <w:szCs w:val="21"/>
          <w:lang w:eastAsia="zh-CN"/>
        </w:rPr>
        <w:t xml:space="preserve">a） </w:t>
      </w:r>
      <w:r>
        <w:rPr>
          <w:sz w:val="21"/>
          <w:szCs w:val="21"/>
          <w:lang w:eastAsia="zh-CN"/>
        </w:rPr>
        <w:t>感染性废物：携带病原微生物具有引发感染性疾病传播危险的医疗废物。</w:t>
      </w:r>
      <w:r>
        <w:rPr>
          <w:sz w:val="21"/>
          <w:szCs w:val="21"/>
          <w:lang w:eastAsia="zh-CN"/>
        </w:rPr>
        <w:br/>
      </w:r>
      <w:r>
        <w:rPr>
          <w:rFonts w:hint="eastAsia"/>
          <w:sz w:val="21"/>
          <w:szCs w:val="21"/>
          <w:lang w:eastAsia="zh-CN"/>
        </w:rPr>
        <w:t xml:space="preserve">b） </w:t>
      </w:r>
      <w:r>
        <w:rPr>
          <w:sz w:val="21"/>
          <w:szCs w:val="21"/>
          <w:lang w:eastAsia="zh-CN"/>
        </w:rPr>
        <w:t>病理性废物：诊疗过程中产生的人体废弃物和医学实验动物尸体等。</w:t>
      </w:r>
      <w:r>
        <w:rPr>
          <w:sz w:val="21"/>
          <w:szCs w:val="21"/>
          <w:lang w:eastAsia="zh-CN"/>
        </w:rPr>
        <w:br/>
      </w:r>
      <w:r>
        <w:rPr>
          <w:rFonts w:hint="eastAsia"/>
          <w:sz w:val="21"/>
          <w:szCs w:val="21"/>
          <w:lang w:eastAsia="zh-CN"/>
        </w:rPr>
        <w:t xml:space="preserve">c） </w:t>
      </w:r>
      <w:r>
        <w:rPr>
          <w:sz w:val="21"/>
          <w:szCs w:val="21"/>
          <w:lang w:eastAsia="zh-CN"/>
        </w:rPr>
        <w:t>损伤性废物：能够刺伤或者割伤人体的废弃的医用锐器。</w:t>
      </w:r>
      <w:r>
        <w:rPr>
          <w:sz w:val="21"/>
          <w:szCs w:val="21"/>
          <w:lang w:eastAsia="zh-CN"/>
        </w:rPr>
        <w:br/>
      </w:r>
      <w:r>
        <w:rPr>
          <w:rFonts w:hint="eastAsia"/>
          <w:sz w:val="21"/>
          <w:szCs w:val="21"/>
          <w:lang w:eastAsia="zh-CN"/>
        </w:rPr>
        <w:t xml:space="preserve">d） </w:t>
      </w:r>
      <w:r>
        <w:rPr>
          <w:sz w:val="21"/>
          <w:szCs w:val="21"/>
          <w:lang w:eastAsia="zh-CN"/>
        </w:rPr>
        <w:t>药物性废物：过期、淘汰、变质或者被污染的废弃的药品。</w:t>
      </w:r>
      <w:r>
        <w:rPr>
          <w:sz w:val="21"/>
          <w:szCs w:val="21"/>
          <w:lang w:eastAsia="zh-CN"/>
        </w:rPr>
        <w:br/>
      </w:r>
      <w:r>
        <w:rPr>
          <w:rFonts w:hint="eastAsia"/>
          <w:sz w:val="21"/>
          <w:szCs w:val="21"/>
          <w:lang w:eastAsia="zh-CN"/>
        </w:rPr>
        <w:t xml:space="preserve">e） </w:t>
      </w:r>
      <w:r>
        <w:rPr>
          <w:sz w:val="21"/>
          <w:szCs w:val="21"/>
          <w:lang w:eastAsia="zh-CN"/>
        </w:rPr>
        <w:t>化学性废物：具有毒性、腐蚀性、易燃易爆性的废弃的化学物品。</w:t>
      </w:r>
    </w:p>
    <w:p w14:paraId="4753E31F" w14:textId="77777777" w:rsidR="006D4899" w:rsidRDefault="00000000">
      <w:pPr>
        <w:widowControl/>
        <w:autoSpaceDE/>
        <w:autoSpaceDN/>
        <w:spacing w:after="4" w:line="288" w:lineRule="auto"/>
        <w:rPr>
          <w:sz w:val="21"/>
          <w:szCs w:val="21"/>
          <w:lang w:eastAsia="zh-CN"/>
        </w:rPr>
      </w:pPr>
      <w:r>
        <w:rPr>
          <w:rFonts w:hint="eastAsia"/>
          <w:lang w:eastAsia="zh-CN"/>
        </w:rPr>
        <w:t>5.2  医疗废弃物的类别、特征、常见组分或者废物名称见附录</w:t>
      </w:r>
    </w:p>
    <w:p w14:paraId="783CF580" w14:textId="77777777" w:rsidR="006D4899" w:rsidRDefault="00000000">
      <w:pPr>
        <w:pStyle w:val="a0"/>
        <w:numPr>
          <w:ilvl w:val="0"/>
          <w:numId w:val="0"/>
        </w:numPr>
        <w:spacing w:before="304" w:after="304"/>
        <w:outlineLvl w:val="0"/>
        <w:rPr>
          <w:rFonts w:ascii="微软雅黑" w:eastAsia="微软雅黑" w:hAnsi="微软雅黑" w:cs="微软雅黑"/>
          <w:b/>
          <w:bCs/>
          <w:color w:val="000000"/>
          <w:kern w:val="2"/>
          <w:sz w:val="24"/>
          <w:szCs w:val="28"/>
          <w:lang w:bidi="ar"/>
        </w:rPr>
      </w:pPr>
      <w:bookmarkStart w:id="11" w:name="_Toc8361"/>
      <w:r>
        <w:rPr>
          <w:rFonts w:hint="eastAsia"/>
          <w:szCs w:val="22"/>
        </w:rPr>
        <w:t>6   PCR实验室医疗废弃物收集</w:t>
      </w:r>
      <w:bookmarkEnd w:id="11"/>
    </w:p>
    <w:p w14:paraId="55A31627" w14:textId="77777777" w:rsidR="006D4899" w:rsidRDefault="00000000">
      <w:pPr>
        <w:pStyle w:val="a0"/>
        <w:numPr>
          <w:ilvl w:val="0"/>
          <w:numId w:val="0"/>
        </w:numPr>
        <w:spacing w:before="304" w:after="304" w:line="288" w:lineRule="auto"/>
        <w:outlineLvl w:val="0"/>
        <w:rPr>
          <w:szCs w:val="22"/>
        </w:rPr>
      </w:pPr>
      <w:r>
        <w:rPr>
          <w:rFonts w:hint="eastAsia"/>
          <w:szCs w:val="22"/>
        </w:rPr>
        <w:t>6.1  收集要求</w:t>
      </w:r>
    </w:p>
    <w:p w14:paraId="6C95AA4F" w14:textId="77777777" w:rsidR="006D4899" w:rsidRDefault="00000000">
      <w:pPr>
        <w:pStyle w:val="a0"/>
        <w:numPr>
          <w:ilvl w:val="0"/>
          <w:numId w:val="0"/>
        </w:numPr>
        <w:spacing w:before="304" w:after="304" w:line="288" w:lineRule="auto"/>
        <w:ind w:firstLineChars="200" w:firstLine="420"/>
        <w:outlineLvl w:val="0"/>
        <w:rPr>
          <w:rFonts w:ascii="宋体" w:eastAsia="宋体" w:hAnsi="宋体" w:cs="宋体"/>
          <w:szCs w:val="21"/>
        </w:rPr>
      </w:pPr>
      <w:r>
        <w:rPr>
          <w:rFonts w:ascii="宋体" w:eastAsia="宋体" w:hAnsi="宋体" w:cs="宋体"/>
          <w:szCs w:val="21"/>
        </w:rPr>
        <w:lastRenderedPageBreak/>
        <w:t>按照《医疗机构临床基因扩增实验室管理办法》(卫</w:t>
      </w:r>
      <w:proofErr w:type="gramStart"/>
      <w:r>
        <w:rPr>
          <w:rFonts w:ascii="宋体" w:eastAsia="宋体" w:hAnsi="宋体" w:cs="宋体"/>
          <w:szCs w:val="21"/>
        </w:rPr>
        <w:t>医</w:t>
      </w:r>
      <w:proofErr w:type="gramEnd"/>
      <w:r>
        <w:rPr>
          <w:rFonts w:ascii="宋体" w:eastAsia="宋体" w:hAnsi="宋体" w:cs="宋体"/>
          <w:szCs w:val="21"/>
        </w:rPr>
        <w:t>发</w:t>
      </w:r>
      <w:r>
        <w:rPr>
          <w:rFonts w:ascii="宋体" w:eastAsia="宋体" w:hAnsi="宋体" w:cs="宋体" w:hint="eastAsia"/>
          <w:szCs w:val="21"/>
        </w:rPr>
        <w:t>〔</w:t>
      </w:r>
      <w:r>
        <w:rPr>
          <w:rFonts w:ascii="宋体" w:eastAsia="宋体" w:hAnsi="宋体" w:cs="宋体"/>
          <w:szCs w:val="21"/>
        </w:rPr>
        <w:t>2010</w:t>
      </w:r>
      <w:r>
        <w:rPr>
          <w:rFonts w:ascii="宋体" w:eastAsia="宋体" w:hAnsi="宋体" w:cs="宋体" w:hint="eastAsia"/>
          <w:szCs w:val="21"/>
        </w:rPr>
        <w:t>〕</w:t>
      </w:r>
      <w:r>
        <w:rPr>
          <w:rFonts w:ascii="宋体" w:eastAsia="宋体" w:hAnsi="宋体" w:cs="宋体"/>
          <w:szCs w:val="21"/>
        </w:rPr>
        <w:t>194号)要求</w:t>
      </w:r>
      <w:r>
        <w:rPr>
          <w:rFonts w:ascii="宋体" w:eastAsia="宋体" w:hAnsi="宋体" w:cs="宋体" w:hint="eastAsia"/>
          <w:szCs w:val="21"/>
        </w:rPr>
        <w:t>，原则上临床基因扩增检验实验室应当设置以下区域：试剂储存和准备区、标本制备区、扩增区、扩增产物分析区。这4个区域在物理空间上必须是完全相互独立的，各区域无论是在空间上还是在使用中，应当始终处于完全的分隔状态，不能有空气的直接相通。因此，为了避免交叉污染，各区域所产生的医疗废弃物应按要求分区分类收集。</w:t>
      </w:r>
    </w:p>
    <w:p w14:paraId="44B3983A" w14:textId="77777777" w:rsidR="006D4899" w:rsidRDefault="00000000">
      <w:pPr>
        <w:pStyle w:val="a0"/>
        <w:numPr>
          <w:ilvl w:val="0"/>
          <w:numId w:val="0"/>
        </w:numPr>
        <w:spacing w:before="304" w:after="304" w:line="288" w:lineRule="auto"/>
        <w:outlineLvl w:val="0"/>
        <w:rPr>
          <w:szCs w:val="22"/>
        </w:rPr>
      </w:pPr>
      <w:r>
        <w:rPr>
          <w:rFonts w:hint="eastAsia"/>
          <w:szCs w:val="22"/>
        </w:rPr>
        <w:t>6.2  收集用包装及标识</w:t>
      </w:r>
    </w:p>
    <w:p w14:paraId="38E3C8E8" w14:textId="77777777" w:rsidR="006D4899" w:rsidRDefault="00000000">
      <w:pPr>
        <w:pStyle w:val="a5"/>
        <w:spacing w:line="288" w:lineRule="auto"/>
        <w:ind w:left="840" w:hangingChars="400" w:hanging="840"/>
        <w:jc w:val="both"/>
        <w:rPr>
          <w:lang w:eastAsia="zh-CN"/>
        </w:rPr>
      </w:pPr>
      <w:r>
        <w:rPr>
          <w:rFonts w:hint="eastAsia"/>
          <w:lang w:eastAsia="zh-CN"/>
        </w:rPr>
        <w:t>6.2.1   存放医疗废弃物</w:t>
      </w:r>
      <w:r>
        <w:rPr>
          <w:rFonts w:hint="eastAsia"/>
          <w:lang w:eastAsia="zh-CN"/>
        </w:rPr>
        <w:fldChar w:fldCharType="begin"/>
      </w:r>
      <w:r>
        <w:rPr>
          <w:rFonts w:hint="eastAsia"/>
          <w:lang w:eastAsia="zh-CN"/>
        </w:rPr>
        <w:instrText xml:space="preserve"> HYPERLINK "https://baike.sogou.com/lemma/ShowInnerLink.htm?lemmaId=1275804&amp;ss_c=ssc.citiao.link" </w:instrText>
      </w:r>
      <w:r>
        <w:rPr>
          <w:rFonts w:hint="eastAsia"/>
          <w:lang w:eastAsia="zh-CN"/>
        </w:rPr>
      </w:r>
      <w:r>
        <w:rPr>
          <w:rFonts w:hint="eastAsia"/>
          <w:lang w:eastAsia="zh-CN"/>
        </w:rPr>
        <w:fldChar w:fldCharType="separate"/>
      </w:r>
      <w:r>
        <w:rPr>
          <w:lang w:eastAsia="zh-CN"/>
        </w:rPr>
        <w:t>的包装物或</w:t>
      </w:r>
      <w:r>
        <w:rPr>
          <w:rFonts w:hint="eastAsia"/>
          <w:lang w:eastAsia="zh-CN"/>
        </w:rPr>
        <w:fldChar w:fldCharType="end"/>
      </w:r>
      <w:r>
        <w:rPr>
          <w:rFonts w:hint="eastAsia"/>
          <w:lang w:eastAsia="zh-CN"/>
        </w:rPr>
        <w:t>者容器应符合</w:t>
      </w:r>
      <w:r>
        <w:rPr>
          <w:lang w:eastAsia="zh-CN"/>
        </w:rPr>
        <w:t>HJ 421-2008《医疗废物专用包装物、容器标准和警示标识规定》</w:t>
      </w:r>
      <w:r>
        <w:rPr>
          <w:rFonts w:hint="eastAsia"/>
          <w:lang w:eastAsia="zh-CN"/>
        </w:rPr>
        <w:t>，并按照类别分置于防渗漏、防锐器穿透的专用包装物或者密闭的容器内。</w:t>
      </w:r>
    </w:p>
    <w:p w14:paraId="159F2BF9" w14:textId="77777777" w:rsidR="006D4899" w:rsidRDefault="00000000">
      <w:pPr>
        <w:pStyle w:val="a5"/>
        <w:spacing w:line="288" w:lineRule="auto"/>
        <w:jc w:val="both"/>
        <w:rPr>
          <w:lang w:eastAsia="zh-CN"/>
        </w:rPr>
      </w:pPr>
      <w:r>
        <w:rPr>
          <w:rFonts w:hint="eastAsia"/>
          <w:lang w:eastAsia="zh-CN"/>
        </w:rPr>
        <w:t>6.2.2   盛装医疗废弃物的每个</w:t>
      </w:r>
      <w:r>
        <w:rPr>
          <w:lang w:eastAsia="zh-CN"/>
        </w:rPr>
        <w:t>专用包装物、容器，应当有明显的警示标识和警示说明</w:t>
      </w:r>
      <w:r>
        <w:rPr>
          <w:rFonts w:hint="eastAsia"/>
          <w:lang w:eastAsia="zh-CN"/>
        </w:rPr>
        <w:t>。</w:t>
      </w:r>
    </w:p>
    <w:p w14:paraId="1666B212" w14:textId="77777777" w:rsidR="006D4899" w:rsidRDefault="00000000">
      <w:pPr>
        <w:pStyle w:val="a5"/>
        <w:spacing w:line="288" w:lineRule="auto"/>
        <w:ind w:left="840" w:hangingChars="400" w:hanging="840"/>
        <w:jc w:val="both"/>
        <w:rPr>
          <w:lang w:eastAsia="zh-CN"/>
        </w:rPr>
      </w:pPr>
      <w:r>
        <w:rPr>
          <w:rFonts w:hint="eastAsia"/>
          <w:lang w:eastAsia="zh-CN"/>
        </w:rPr>
        <w:t>6.2.3   每个包装物、容器上应贴标签，标签内容应包括：医疗废弃物产生单位、产生科室、产生日期、类别及备注说明。</w:t>
      </w:r>
    </w:p>
    <w:p w14:paraId="7CCA225E" w14:textId="77777777" w:rsidR="006D4899" w:rsidRDefault="00000000">
      <w:pPr>
        <w:pStyle w:val="a5"/>
        <w:spacing w:line="288" w:lineRule="auto"/>
        <w:jc w:val="both"/>
        <w:rPr>
          <w:lang w:eastAsia="zh-CN"/>
        </w:rPr>
      </w:pPr>
      <w:r>
        <w:rPr>
          <w:rFonts w:hint="eastAsia"/>
          <w:lang w:eastAsia="zh-CN"/>
        </w:rPr>
        <w:t xml:space="preserve">6.2.4   </w:t>
      </w:r>
      <w:r>
        <w:rPr>
          <w:lang w:eastAsia="zh-CN"/>
        </w:rPr>
        <w:t>医疗废物收集桶应为脚踏式</w:t>
      </w:r>
      <w:r>
        <w:rPr>
          <w:rFonts w:hint="eastAsia"/>
          <w:lang w:eastAsia="zh-CN"/>
        </w:rPr>
        <w:t>，</w:t>
      </w:r>
      <w:r>
        <w:rPr>
          <w:lang w:eastAsia="zh-CN"/>
        </w:rPr>
        <w:t>并带盖</w:t>
      </w:r>
      <w:r>
        <w:rPr>
          <w:rFonts w:hint="eastAsia"/>
          <w:lang w:eastAsia="zh-CN"/>
        </w:rPr>
        <w:t>。</w:t>
      </w:r>
    </w:p>
    <w:p w14:paraId="71957B70" w14:textId="77777777" w:rsidR="006D4899" w:rsidRDefault="00000000">
      <w:pPr>
        <w:pStyle w:val="a0"/>
        <w:numPr>
          <w:ilvl w:val="0"/>
          <w:numId w:val="0"/>
        </w:numPr>
        <w:spacing w:before="304" w:after="304" w:line="288" w:lineRule="auto"/>
        <w:outlineLvl w:val="0"/>
        <w:rPr>
          <w:szCs w:val="22"/>
        </w:rPr>
      </w:pPr>
      <w:r>
        <w:rPr>
          <w:rFonts w:hint="eastAsia"/>
          <w:szCs w:val="22"/>
        </w:rPr>
        <w:t>6.3   收集方法</w:t>
      </w:r>
    </w:p>
    <w:p w14:paraId="0EAD6B4E" w14:textId="77777777" w:rsidR="006D4899" w:rsidRDefault="00000000">
      <w:pPr>
        <w:pStyle w:val="a5"/>
        <w:spacing w:line="288" w:lineRule="auto"/>
        <w:ind w:left="840" w:hangingChars="400" w:hanging="840"/>
        <w:jc w:val="both"/>
        <w:rPr>
          <w:lang w:eastAsia="zh-CN"/>
        </w:rPr>
      </w:pPr>
      <w:r>
        <w:rPr>
          <w:rFonts w:hint="eastAsia"/>
          <w:lang w:eastAsia="zh-CN"/>
        </w:rPr>
        <w:t>6.3.1   工作人员</w:t>
      </w:r>
      <w:r>
        <w:rPr>
          <w:lang w:eastAsia="zh-CN"/>
        </w:rPr>
        <w:t>应当及时收集</w:t>
      </w:r>
      <w:r>
        <w:rPr>
          <w:rFonts w:hint="eastAsia"/>
          <w:lang w:eastAsia="zh-CN"/>
        </w:rPr>
        <w:t>PCR实验室</w:t>
      </w:r>
      <w:r>
        <w:rPr>
          <w:lang w:eastAsia="zh-CN"/>
        </w:rPr>
        <w:t>产生的医疗</w:t>
      </w:r>
      <w:r>
        <w:rPr>
          <w:rFonts w:hint="eastAsia"/>
          <w:lang w:eastAsia="zh-CN"/>
        </w:rPr>
        <w:t>废弃物，</w:t>
      </w:r>
      <w:r>
        <w:rPr>
          <w:lang w:eastAsia="zh-CN"/>
        </w:rPr>
        <w:t>并按照类别分置于防渗漏、防锐器穿透的专用包装物或者密闭的容器内</w:t>
      </w:r>
      <w:r>
        <w:rPr>
          <w:rFonts w:hint="eastAsia"/>
          <w:lang w:eastAsia="zh-CN"/>
        </w:rPr>
        <w:t xml:space="preserve">， </w:t>
      </w:r>
      <w:r>
        <w:rPr>
          <w:lang w:eastAsia="zh-CN"/>
        </w:rPr>
        <w:t>在盛装医疗废物前，应进行认真检查，确保其无破损、无渗漏</w:t>
      </w:r>
      <w:r>
        <w:rPr>
          <w:rFonts w:hint="eastAsia"/>
          <w:lang w:eastAsia="zh-CN"/>
        </w:rPr>
        <w:t>。</w:t>
      </w:r>
    </w:p>
    <w:p w14:paraId="2DFA4D4E" w14:textId="77777777" w:rsidR="006D4899" w:rsidRDefault="00000000">
      <w:pPr>
        <w:pStyle w:val="a5"/>
        <w:spacing w:line="288" w:lineRule="auto"/>
        <w:ind w:left="840" w:hangingChars="400" w:hanging="840"/>
        <w:jc w:val="both"/>
        <w:rPr>
          <w:lang w:eastAsia="zh-CN"/>
        </w:rPr>
      </w:pPr>
      <w:r>
        <w:rPr>
          <w:rFonts w:hint="eastAsia"/>
          <w:lang w:eastAsia="zh-CN"/>
        </w:rPr>
        <w:t>6.3.2   感染性废弃物、损伤性废弃物、药物性废弃物、</w:t>
      </w:r>
      <w:r>
        <w:rPr>
          <w:lang w:eastAsia="zh-CN"/>
        </w:rPr>
        <w:t>病理性废</w:t>
      </w:r>
      <w:r>
        <w:rPr>
          <w:rFonts w:hint="eastAsia"/>
          <w:lang w:eastAsia="zh-CN"/>
        </w:rPr>
        <w:t>弃</w:t>
      </w:r>
      <w:r>
        <w:rPr>
          <w:lang w:eastAsia="zh-CN"/>
        </w:rPr>
        <w:t>物</w:t>
      </w:r>
      <w:r>
        <w:rPr>
          <w:rFonts w:hint="eastAsia"/>
          <w:lang w:eastAsia="zh-CN"/>
        </w:rPr>
        <w:t>及化学性废弃物不应混合收集。其中损伤性废弃物应收集在专用、</w:t>
      </w:r>
      <w:proofErr w:type="gramStart"/>
      <w:r>
        <w:rPr>
          <w:rFonts w:hint="eastAsia"/>
          <w:lang w:eastAsia="zh-CN"/>
        </w:rPr>
        <w:t>耐扎的</w:t>
      </w:r>
      <w:proofErr w:type="gramEnd"/>
      <w:r>
        <w:rPr>
          <w:rFonts w:hint="eastAsia"/>
          <w:lang w:eastAsia="zh-CN"/>
        </w:rPr>
        <w:t>利器盒中，利器盒表面应有生物安全、损伤性废弃物等标识。</w:t>
      </w:r>
    </w:p>
    <w:p w14:paraId="76746520" w14:textId="77777777" w:rsidR="006D4899" w:rsidRDefault="00000000">
      <w:pPr>
        <w:pStyle w:val="a5"/>
        <w:spacing w:line="288" w:lineRule="auto"/>
        <w:ind w:left="630" w:hangingChars="300" w:hanging="630"/>
        <w:jc w:val="both"/>
        <w:rPr>
          <w:lang w:eastAsia="zh-CN"/>
        </w:rPr>
      </w:pPr>
      <w:r>
        <w:rPr>
          <w:rFonts w:hint="eastAsia"/>
          <w:lang w:eastAsia="zh-CN"/>
        </w:rPr>
        <w:t xml:space="preserve">6.3.3   </w:t>
      </w:r>
      <w:r>
        <w:rPr>
          <w:lang w:eastAsia="zh-CN"/>
        </w:rPr>
        <w:t>医疗废</w:t>
      </w:r>
      <w:r>
        <w:rPr>
          <w:rFonts w:hint="eastAsia"/>
          <w:lang w:eastAsia="zh-CN"/>
        </w:rPr>
        <w:t>弃</w:t>
      </w:r>
      <w:r>
        <w:rPr>
          <w:lang w:eastAsia="zh-CN"/>
        </w:rPr>
        <w:t>物达到包装袋或者利器盒的3/4时，应当有效封口，确保封口严密。</w:t>
      </w:r>
    </w:p>
    <w:p w14:paraId="6A587AE0" w14:textId="77777777" w:rsidR="006D4899" w:rsidRDefault="00000000">
      <w:pPr>
        <w:pStyle w:val="a5"/>
        <w:spacing w:line="288" w:lineRule="auto"/>
        <w:ind w:left="630" w:hangingChars="300" w:hanging="630"/>
        <w:jc w:val="both"/>
        <w:rPr>
          <w:lang w:eastAsia="zh-CN"/>
        </w:rPr>
      </w:pPr>
      <w:r>
        <w:rPr>
          <w:rFonts w:hint="eastAsia"/>
          <w:lang w:eastAsia="zh-CN"/>
        </w:rPr>
        <w:t>6.3.4   放入包装物或者容器内的感染性废弃物、损伤性废弃物不得取出。</w:t>
      </w:r>
    </w:p>
    <w:p w14:paraId="5F6EE620" w14:textId="77777777" w:rsidR="006D4899" w:rsidRDefault="00000000">
      <w:pPr>
        <w:pStyle w:val="a5"/>
        <w:spacing w:line="288" w:lineRule="auto"/>
        <w:ind w:left="840" w:hangingChars="400" w:hanging="840"/>
        <w:jc w:val="both"/>
        <w:rPr>
          <w:lang w:eastAsia="zh-CN"/>
        </w:rPr>
      </w:pPr>
      <w:r>
        <w:rPr>
          <w:rFonts w:hint="eastAsia"/>
          <w:lang w:eastAsia="zh-CN"/>
        </w:rPr>
        <w:t>6.3.5   PCR实验室</w:t>
      </w:r>
      <w:r>
        <w:rPr>
          <w:lang w:eastAsia="zh-CN"/>
        </w:rPr>
        <w:t>试剂</w:t>
      </w:r>
      <w:r>
        <w:rPr>
          <w:rFonts w:hint="eastAsia"/>
          <w:lang w:eastAsia="zh-CN"/>
        </w:rPr>
        <w:t>储存和</w:t>
      </w:r>
      <w:r>
        <w:rPr>
          <w:lang w:eastAsia="zh-CN"/>
        </w:rPr>
        <w:t>准备区</w:t>
      </w:r>
      <w:r>
        <w:rPr>
          <w:rFonts w:hint="eastAsia"/>
          <w:lang w:eastAsia="zh-CN"/>
        </w:rPr>
        <w:t>的包装盒、空试剂瓶、个人防护用品等放入黄色垃圾袋中、对包装袋表面采取化学消毒处理；枪头、吸管等损伤性医疗废弃物应装入利器盒里，密闭后采用化学消毒处理，再装入黄色垃圾袋。</w:t>
      </w:r>
    </w:p>
    <w:p w14:paraId="3C7F320A" w14:textId="77777777" w:rsidR="006D4899" w:rsidRDefault="00000000">
      <w:pPr>
        <w:pStyle w:val="a5"/>
        <w:spacing w:line="288" w:lineRule="auto"/>
        <w:ind w:left="840" w:hangingChars="400" w:hanging="840"/>
        <w:jc w:val="both"/>
        <w:rPr>
          <w:lang w:eastAsia="zh-CN"/>
        </w:rPr>
      </w:pPr>
      <w:r>
        <w:rPr>
          <w:rFonts w:hint="eastAsia"/>
          <w:lang w:eastAsia="zh-CN"/>
        </w:rPr>
        <w:t>6.3.6   样本制备区中样本采样管、病原体标本、培养基、个人防护用品等高危废弃物，应采用双层包装，鹅颈结式封口，分层封扎，在产生区域进行压力蒸汽灭菌，或在离开样本制备区前对包装袋表面采取化学消毒处理，再转运到消毒间进行压力蒸汽灭菌，按感染性废弃物收集处理；</w:t>
      </w:r>
      <w:proofErr w:type="gramStart"/>
      <w:r>
        <w:rPr>
          <w:rFonts w:hint="eastAsia"/>
          <w:lang w:eastAsia="zh-CN"/>
        </w:rPr>
        <w:t>移液枪</w:t>
      </w:r>
      <w:proofErr w:type="gramEnd"/>
      <w:r>
        <w:rPr>
          <w:rFonts w:hint="eastAsia"/>
          <w:lang w:eastAsia="zh-CN"/>
        </w:rPr>
        <w:t>头等损伤性医疗废弃物应装入利器盒里，密闭后采用化学消毒处理，再装入黄色垃圾袋，在产生区域进行压力蒸汽灭菌，或在离开样本制备区前对包装袋表面采取化学消毒处理，再转运到消毒间进行压力蒸汽灭菌，按损伤性废弃物收集处理。</w:t>
      </w:r>
    </w:p>
    <w:p w14:paraId="76AF905B" w14:textId="77777777" w:rsidR="006D4899" w:rsidRDefault="00000000">
      <w:pPr>
        <w:pStyle w:val="a5"/>
        <w:spacing w:line="288" w:lineRule="auto"/>
        <w:ind w:left="840" w:hangingChars="400" w:hanging="840"/>
        <w:jc w:val="both"/>
        <w:rPr>
          <w:lang w:eastAsia="zh-CN"/>
        </w:rPr>
      </w:pPr>
      <w:r>
        <w:rPr>
          <w:rFonts w:hint="eastAsia"/>
          <w:lang w:eastAsia="zh-CN"/>
        </w:rPr>
        <w:t xml:space="preserve">6.3.7   </w:t>
      </w:r>
      <w:r>
        <w:rPr>
          <w:lang w:eastAsia="zh-CN"/>
        </w:rPr>
        <w:t>基因扩增区</w:t>
      </w:r>
      <w:r>
        <w:rPr>
          <w:rFonts w:hint="eastAsia"/>
          <w:lang w:eastAsia="zh-CN"/>
        </w:rPr>
        <w:t>和</w:t>
      </w:r>
      <w:r>
        <w:rPr>
          <w:lang w:eastAsia="zh-CN"/>
        </w:rPr>
        <w:t>扩增产物</w:t>
      </w:r>
      <w:proofErr w:type="gramStart"/>
      <w:r>
        <w:rPr>
          <w:lang w:eastAsia="zh-CN"/>
        </w:rPr>
        <w:t>分析区</w:t>
      </w:r>
      <w:proofErr w:type="gramEnd"/>
      <w:r>
        <w:rPr>
          <w:rFonts w:hint="eastAsia"/>
          <w:lang w:eastAsia="zh-CN"/>
        </w:rPr>
        <w:t>产生的核酸产物</w:t>
      </w:r>
      <w:proofErr w:type="gramStart"/>
      <w:r>
        <w:rPr>
          <w:rFonts w:hint="eastAsia"/>
          <w:lang w:eastAsia="zh-CN"/>
        </w:rPr>
        <w:t>应用耐扎的</w:t>
      </w:r>
      <w:proofErr w:type="gramEnd"/>
      <w:r>
        <w:rPr>
          <w:rFonts w:hint="eastAsia"/>
          <w:lang w:eastAsia="zh-CN"/>
        </w:rPr>
        <w:t>密封袋双层包装，分层封口，密封袋表面化学消毒处理，按感染性废弃物收集处理。</w:t>
      </w:r>
    </w:p>
    <w:p w14:paraId="4841F462" w14:textId="77777777" w:rsidR="006D4899" w:rsidRDefault="00000000">
      <w:pPr>
        <w:pStyle w:val="a0"/>
        <w:numPr>
          <w:ilvl w:val="0"/>
          <w:numId w:val="0"/>
        </w:numPr>
        <w:spacing w:before="304" w:after="304"/>
        <w:outlineLvl w:val="0"/>
        <w:rPr>
          <w:szCs w:val="22"/>
        </w:rPr>
      </w:pPr>
      <w:bookmarkStart w:id="12" w:name="_Toc31154"/>
      <w:r>
        <w:rPr>
          <w:rFonts w:hint="eastAsia"/>
          <w:szCs w:val="22"/>
        </w:rPr>
        <w:t>7   PCR实验室医疗废弃物转运、存放及处置</w:t>
      </w:r>
      <w:bookmarkEnd w:id="12"/>
    </w:p>
    <w:p w14:paraId="25494139" w14:textId="77777777" w:rsidR="006D4899" w:rsidRDefault="00000000">
      <w:pPr>
        <w:widowControl/>
        <w:autoSpaceDE/>
        <w:autoSpaceDN/>
        <w:spacing w:after="4" w:line="288" w:lineRule="auto"/>
        <w:rPr>
          <w:sz w:val="21"/>
          <w:szCs w:val="21"/>
          <w:lang w:eastAsia="zh-CN"/>
        </w:rPr>
      </w:pPr>
      <w:r>
        <w:rPr>
          <w:rFonts w:hint="eastAsia"/>
          <w:sz w:val="21"/>
          <w:szCs w:val="21"/>
          <w:lang w:eastAsia="zh-CN"/>
        </w:rPr>
        <w:lastRenderedPageBreak/>
        <w:t>7.1   PCR实验室所在单位应建立医疗废弃物暂存处，规划运送路线，并设置明显的警示标识。</w:t>
      </w:r>
    </w:p>
    <w:p w14:paraId="0657F796" w14:textId="77777777" w:rsidR="006D4899" w:rsidRDefault="00000000">
      <w:pPr>
        <w:widowControl/>
        <w:autoSpaceDE/>
        <w:autoSpaceDN/>
        <w:spacing w:after="4" w:line="288" w:lineRule="auto"/>
        <w:rPr>
          <w:sz w:val="21"/>
          <w:szCs w:val="21"/>
          <w:lang w:eastAsia="zh-CN"/>
        </w:rPr>
      </w:pPr>
      <w:r>
        <w:rPr>
          <w:rFonts w:hint="eastAsia"/>
          <w:sz w:val="21"/>
          <w:szCs w:val="21"/>
          <w:lang w:eastAsia="zh-CN"/>
        </w:rPr>
        <w:t>7.2   不得露天存放医疗废弃物，医疗废弃物暂时贮存的时间不得超过2天。</w:t>
      </w:r>
    </w:p>
    <w:p w14:paraId="77C1DABA" w14:textId="77777777" w:rsidR="006D4899" w:rsidRDefault="00000000">
      <w:pPr>
        <w:widowControl/>
        <w:autoSpaceDE/>
        <w:autoSpaceDN/>
        <w:spacing w:after="4" w:line="288" w:lineRule="auto"/>
        <w:ind w:left="630" w:hangingChars="300" w:hanging="630"/>
        <w:rPr>
          <w:sz w:val="21"/>
          <w:szCs w:val="21"/>
          <w:lang w:eastAsia="zh-CN"/>
        </w:rPr>
      </w:pPr>
      <w:r>
        <w:rPr>
          <w:rFonts w:hint="eastAsia"/>
          <w:sz w:val="21"/>
          <w:szCs w:val="21"/>
          <w:lang w:eastAsia="zh-CN"/>
        </w:rPr>
        <w:t xml:space="preserve">7.3   </w:t>
      </w:r>
      <w:r>
        <w:rPr>
          <w:sz w:val="21"/>
          <w:szCs w:val="21"/>
          <w:lang w:eastAsia="zh-CN"/>
        </w:rPr>
        <w:t>暂存</w:t>
      </w:r>
      <w:proofErr w:type="gramStart"/>
      <w:r>
        <w:rPr>
          <w:sz w:val="21"/>
          <w:szCs w:val="21"/>
          <w:lang w:eastAsia="zh-CN"/>
        </w:rPr>
        <w:t>处应当</w:t>
      </w:r>
      <w:proofErr w:type="gramEnd"/>
      <w:r>
        <w:rPr>
          <w:sz w:val="21"/>
          <w:szCs w:val="21"/>
          <w:lang w:eastAsia="zh-CN"/>
        </w:rPr>
        <w:t>有严密的封闭措施，</w:t>
      </w:r>
      <w:r>
        <w:rPr>
          <w:rFonts w:hint="eastAsia"/>
          <w:sz w:val="21"/>
          <w:szCs w:val="21"/>
          <w:lang w:eastAsia="zh-CN"/>
        </w:rPr>
        <w:t>应当远离医疗区、食品加工区和人员活动区以及生活垃圾存放场所，并设置明显的警示标识和防渗漏、防鼠、防蚊蝇、防蟑螂、防盗以及预防儿童接触等安全措施。</w:t>
      </w:r>
    </w:p>
    <w:p w14:paraId="62F11C56" w14:textId="77777777" w:rsidR="006D4899" w:rsidRDefault="00000000">
      <w:pPr>
        <w:widowControl/>
        <w:autoSpaceDE/>
        <w:autoSpaceDN/>
        <w:spacing w:after="4" w:line="288" w:lineRule="auto"/>
        <w:rPr>
          <w:sz w:val="21"/>
          <w:szCs w:val="21"/>
          <w:lang w:eastAsia="zh-CN"/>
        </w:rPr>
      </w:pPr>
      <w:r>
        <w:rPr>
          <w:rFonts w:hint="eastAsia"/>
          <w:sz w:val="21"/>
          <w:szCs w:val="21"/>
          <w:lang w:eastAsia="zh-CN"/>
        </w:rPr>
        <w:t xml:space="preserve">7.4   </w:t>
      </w:r>
      <w:r>
        <w:rPr>
          <w:sz w:val="21"/>
          <w:szCs w:val="21"/>
          <w:lang w:eastAsia="zh-CN"/>
        </w:rPr>
        <w:t>防止非工作人员接触医疗废物。</w:t>
      </w:r>
    </w:p>
    <w:p w14:paraId="56D8F85E" w14:textId="77777777" w:rsidR="006D4899" w:rsidRDefault="00000000">
      <w:pPr>
        <w:widowControl/>
        <w:autoSpaceDE/>
        <w:autoSpaceDN/>
        <w:spacing w:after="4" w:line="288" w:lineRule="auto"/>
        <w:ind w:left="630" w:hangingChars="300" w:hanging="630"/>
        <w:rPr>
          <w:sz w:val="21"/>
          <w:szCs w:val="21"/>
          <w:lang w:eastAsia="zh-CN"/>
        </w:rPr>
      </w:pPr>
      <w:r>
        <w:rPr>
          <w:rFonts w:hint="eastAsia"/>
          <w:sz w:val="21"/>
          <w:szCs w:val="21"/>
          <w:lang w:eastAsia="zh-CN"/>
        </w:rPr>
        <w:t>7.5   应当选用防渗漏、防遗撒、无锐利边角、</w:t>
      </w:r>
      <w:r>
        <w:rPr>
          <w:sz w:val="21"/>
          <w:szCs w:val="21"/>
          <w:lang w:eastAsia="zh-CN"/>
        </w:rPr>
        <w:t>易于装卸和清洁的专用运送工具</w:t>
      </w:r>
      <w:r>
        <w:rPr>
          <w:rFonts w:hint="eastAsia"/>
          <w:sz w:val="21"/>
          <w:szCs w:val="21"/>
          <w:lang w:eastAsia="zh-CN"/>
        </w:rPr>
        <w:t>，每次</w:t>
      </w:r>
      <w:r>
        <w:rPr>
          <w:sz w:val="21"/>
          <w:szCs w:val="21"/>
          <w:lang w:eastAsia="zh-CN"/>
        </w:rPr>
        <w:t>运送工作结束后，</w:t>
      </w:r>
      <w:r>
        <w:rPr>
          <w:rFonts w:hint="eastAsia"/>
          <w:sz w:val="21"/>
          <w:szCs w:val="21"/>
          <w:lang w:eastAsia="zh-CN"/>
        </w:rPr>
        <w:t>工作人员</w:t>
      </w:r>
      <w:r>
        <w:rPr>
          <w:sz w:val="21"/>
          <w:szCs w:val="21"/>
          <w:lang w:eastAsia="zh-CN"/>
        </w:rPr>
        <w:t>应当</w:t>
      </w:r>
      <w:r>
        <w:rPr>
          <w:rFonts w:hint="eastAsia"/>
          <w:sz w:val="21"/>
          <w:szCs w:val="21"/>
          <w:lang w:eastAsia="zh-CN"/>
        </w:rPr>
        <w:t>对</w:t>
      </w:r>
      <w:r>
        <w:rPr>
          <w:sz w:val="21"/>
          <w:szCs w:val="21"/>
          <w:lang w:eastAsia="zh-CN"/>
        </w:rPr>
        <w:t>运送工具及时进行清洁和消毒</w:t>
      </w:r>
      <w:r>
        <w:rPr>
          <w:rFonts w:hint="eastAsia"/>
          <w:sz w:val="21"/>
          <w:szCs w:val="21"/>
          <w:lang w:eastAsia="zh-CN"/>
        </w:rPr>
        <w:t>，并</w:t>
      </w:r>
      <w:r>
        <w:rPr>
          <w:sz w:val="21"/>
          <w:szCs w:val="21"/>
          <w:lang w:eastAsia="zh-CN"/>
        </w:rPr>
        <w:t>对</w:t>
      </w:r>
      <w:r>
        <w:rPr>
          <w:rFonts w:hint="eastAsia"/>
          <w:sz w:val="21"/>
          <w:szCs w:val="21"/>
          <w:lang w:eastAsia="zh-CN"/>
        </w:rPr>
        <w:t>暂时贮存设施设备定期清洁和消毒。</w:t>
      </w:r>
    </w:p>
    <w:p w14:paraId="5CBD01EB" w14:textId="77777777" w:rsidR="006D4899" w:rsidRDefault="00000000">
      <w:pPr>
        <w:widowControl/>
        <w:autoSpaceDE/>
        <w:autoSpaceDN/>
        <w:spacing w:after="4" w:line="288" w:lineRule="auto"/>
        <w:rPr>
          <w:sz w:val="21"/>
          <w:szCs w:val="21"/>
          <w:lang w:eastAsia="zh-CN"/>
        </w:rPr>
      </w:pPr>
      <w:r>
        <w:rPr>
          <w:rFonts w:hint="eastAsia"/>
          <w:sz w:val="21"/>
          <w:szCs w:val="21"/>
          <w:lang w:eastAsia="zh-CN"/>
        </w:rPr>
        <w:t>7.6   医疗废弃物应在规定时间内交由医疗废物处置单位进行处置。</w:t>
      </w:r>
    </w:p>
    <w:p w14:paraId="59FF710E" w14:textId="77777777" w:rsidR="006D4899" w:rsidRDefault="006D4899">
      <w:pPr>
        <w:widowControl/>
        <w:autoSpaceDE/>
        <w:autoSpaceDN/>
        <w:spacing w:after="4" w:line="288" w:lineRule="auto"/>
        <w:rPr>
          <w:sz w:val="21"/>
          <w:szCs w:val="21"/>
          <w:lang w:eastAsia="zh-CN"/>
        </w:rPr>
      </w:pPr>
    </w:p>
    <w:p w14:paraId="37A11A60" w14:textId="77777777" w:rsidR="006D4899" w:rsidRDefault="00000000">
      <w:pPr>
        <w:widowControl/>
        <w:autoSpaceDE/>
        <w:autoSpaceDN/>
        <w:spacing w:after="4"/>
        <w:outlineLvl w:val="0"/>
        <w:rPr>
          <w:rFonts w:ascii="黑体" w:eastAsia="黑体" w:hAnsi="Calibri" w:cs="Times New Roman"/>
          <w:sz w:val="21"/>
          <w:lang w:eastAsia="zh-CN"/>
        </w:rPr>
      </w:pPr>
      <w:bookmarkStart w:id="13" w:name="_Toc11408"/>
      <w:r>
        <w:rPr>
          <w:rFonts w:ascii="黑体" w:eastAsia="黑体" w:hAnsi="Calibri" w:cs="Times New Roman" w:hint="eastAsia"/>
          <w:sz w:val="21"/>
          <w:lang w:eastAsia="zh-CN"/>
        </w:rPr>
        <w:t>8   污水排放</w:t>
      </w:r>
      <w:bookmarkEnd w:id="13"/>
    </w:p>
    <w:p w14:paraId="3A7DAB1E" w14:textId="77777777" w:rsidR="006D4899" w:rsidRDefault="006D4899">
      <w:pPr>
        <w:widowControl/>
        <w:autoSpaceDE/>
        <w:autoSpaceDN/>
        <w:spacing w:after="4" w:line="288" w:lineRule="auto"/>
        <w:outlineLvl w:val="0"/>
        <w:rPr>
          <w:rFonts w:ascii="黑体" w:eastAsia="黑体" w:hAnsi="Calibri" w:cs="Times New Roman"/>
          <w:sz w:val="21"/>
          <w:lang w:eastAsia="zh-CN"/>
        </w:rPr>
      </w:pPr>
    </w:p>
    <w:p w14:paraId="021A7A5D" w14:textId="77777777" w:rsidR="006D4899" w:rsidRDefault="00000000">
      <w:pPr>
        <w:widowControl/>
        <w:autoSpaceDE/>
        <w:autoSpaceDN/>
        <w:spacing w:after="4" w:line="288" w:lineRule="auto"/>
        <w:ind w:firstLineChars="200" w:firstLine="420"/>
        <w:rPr>
          <w:sz w:val="21"/>
          <w:szCs w:val="21"/>
          <w:lang w:eastAsia="zh-CN"/>
        </w:rPr>
      </w:pPr>
      <w:r>
        <w:rPr>
          <w:rFonts w:hint="eastAsia"/>
          <w:sz w:val="21"/>
          <w:szCs w:val="21"/>
          <w:lang w:eastAsia="zh-CN"/>
        </w:rPr>
        <w:t>PCR实验室产生的污水应当按照</w:t>
      </w:r>
      <w:r>
        <w:rPr>
          <w:sz w:val="21"/>
          <w:szCs w:val="21"/>
          <w:lang w:eastAsia="zh-CN"/>
        </w:rPr>
        <w:fldChar w:fldCharType="begin"/>
      </w:r>
      <w:r>
        <w:rPr>
          <w:sz w:val="21"/>
          <w:szCs w:val="21"/>
          <w:lang w:eastAsia="zh-CN"/>
        </w:rPr>
        <w:instrText xml:space="preserve"> HYPERLINK "https://std.samr.gov.cn/gb/search/gbDetailed?id=71F772D77F53D3A7E05397BE0A0AB82A" \t "https://std.samr.gov.cn/search/_blank" </w:instrText>
      </w:r>
      <w:r>
        <w:rPr>
          <w:sz w:val="21"/>
          <w:szCs w:val="21"/>
          <w:lang w:eastAsia="zh-CN"/>
        </w:rPr>
      </w:r>
      <w:r>
        <w:rPr>
          <w:sz w:val="21"/>
          <w:szCs w:val="21"/>
          <w:lang w:eastAsia="zh-CN"/>
        </w:rPr>
        <w:fldChar w:fldCharType="separate"/>
      </w:r>
      <w:r>
        <w:rPr>
          <w:sz w:val="21"/>
          <w:szCs w:val="21"/>
          <w:lang w:eastAsia="zh-CN"/>
        </w:rPr>
        <w:t>GB 18466-2005</w:t>
      </w:r>
      <w:r>
        <w:rPr>
          <w:rFonts w:hint="eastAsia"/>
          <w:sz w:val="21"/>
          <w:szCs w:val="21"/>
          <w:lang w:eastAsia="zh-CN"/>
        </w:rPr>
        <w:t>《</w:t>
      </w:r>
      <w:r>
        <w:rPr>
          <w:sz w:val="21"/>
          <w:szCs w:val="21"/>
          <w:lang w:eastAsia="zh-CN"/>
        </w:rPr>
        <w:t>医疗机构水污染物排放标准</w:t>
      </w:r>
      <w:r>
        <w:rPr>
          <w:rFonts w:hint="eastAsia"/>
          <w:sz w:val="21"/>
          <w:szCs w:val="21"/>
          <w:lang w:eastAsia="zh-CN"/>
        </w:rPr>
        <w:t>》</w:t>
      </w:r>
      <w:r>
        <w:rPr>
          <w:sz w:val="21"/>
          <w:szCs w:val="21"/>
          <w:lang w:eastAsia="zh-CN"/>
        </w:rPr>
        <w:fldChar w:fldCharType="end"/>
      </w:r>
      <w:r>
        <w:rPr>
          <w:rFonts w:hint="eastAsia"/>
          <w:sz w:val="21"/>
          <w:szCs w:val="21"/>
          <w:lang w:eastAsia="zh-CN"/>
        </w:rPr>
        <w:t>进行严格消毒，达到污水排放标准后，方可排入污水处理系统。</w:t>
      </w:r>
    </w:p>
    <w:p w14:paraId="4CD4FACE" w14:textId="77777777" w:rsidR="006D4899" w:rsidRDefault="006D4899">
      <w:pPr>
        <w:widowControl/>
        <w:autoSpaceDE/>
        <w:autoSpaceDN/>
        <w:spacing w:after="4" w:line="288" w:lineRule="auto"/>
        <w:ind w:firstLineChars="200" w:firstLine="420"/>
        <w:rPr>
          <w:sz w:val="21"/>
          <w:szCs w:val="21"/>
          <w:lang w:eastAsia="zh-CN"/>
        </w:rPr>
      </w:pPr>
    </w:p>
    <w:p w14:paraId="21A69372" w14:textId="77777777" w:rsidR="006D4899" w:rsidRDefault="00000000">
      <w:pPr>
        <w:widowControl/>
        <w:autoSpaceDE/>
        <w:autoSpaceDN/>
        <w:spacing w:after="4"/>
        <w:outlineLvl w:val="0"/>
        <w:rPr>
          <w:rFonts w:ascii="黑体" w:eastAsia="黑体" w:hAnsi="Calibri" w:cs="Times New Roman"/>
          <w:sz w:val="21"/>
          <w:lang w:eastAsia="zh-CN"/>
        </w:rPr>
      </w:pPr>
      <w:bookmarkStart w:id="14" w:name="_Toc3513"/>
      <w:r>
        <w:rPr>
          <w:rFonts w:ascii="黑体" w:eastAsia="黑体" w:hAnsi="Calibri" w:cs="Times New Roman" w:hint="eastAsia"/>
          <w:sz w:val="21"/>
          <w:lang w:eastAsia="zh-CN"/>
        </w:rPr>
        <w:t>9   记录</w:t>
      </w:r>
      <w:bookmarkEnd w:id="14"/>
    </w:p>
    <w:p w14:paraId="0E734865" w14:textId="77777777" w:rsidR="006D4899" w:rsidRDefault="006D4899">
      <w:pPr>
        <w:widowControl/>
        <w:autoSpaceDE/>
        <w:autoSpaceDN/>
        <w:spacing w:after="4" w:line="288" w:lineRule="auto"/>
        <w:outlineLvl w:val="0"/>
        <w:rPr>
          <w:rFonts w:ascii="黑体" w:eastAsia="黑体" w:hAnsi="Calibri" w:cs="Times New Roman"/>
          <w:sz w:val="21"/>
          <w:lang w:eastAsia="zh-CN"/>
        </w:rPr>
      </w:pPr>
    </w:p>
    <w:p w14:paraId="77AD0535" w14:textId="77777777" w:rsidR="006D4899" w:rsidRDefault="00000000">
      <w:pPr>
        <w:widowControl/>
        <w:autoSpaceDE/>
        <w:autoSpaceDN/>
        <w:spacing w:after="4" w:line="288" w:lineRule="auto"/>
        <w:ind w:firstLineChars="200" w:firstLine="420"/>
        <w:rPr>
          <w:sz w:val="21"/>
          <w:szCs w:val="21"/>
          <w:lang w:eastAsia="zh-CN"/>
        </w:rPr>
      </w:pPr>
      <w:r>
        <w:rPr>
          <w:rFonts w:hint="eastAsia"/>
          <w:sz w:val="21"/>
          <w:szCs w:val="21"/>
          <w:lang w:eastAsia="zh-CN"/>
        </w:rPr>
        <w:t>工作人员应当对医疗废物进行登记，登记内容应当包括医疗废弃物的来源、种类、重量或者数量、交接时间、处置方法、最终去向以及经办人签名等项目。登记资料至少保存3年。</w:t>
      </w:r>
    </w:p>
    <w:p w14:paraId="43ADBD23" w14:textId="77777777" w:rsidR="006D4899" w:rsidRDefault="006D4899">
      <w:pPr>
        <w:widowControl/>
        <w:autoSpaceDE/>
        <w:autoSpaceDN/>
        <w:spacing w:after="4" w:line="288" w:lineRule="auto"/>
        <w:ind w:firstLineChars="200" w:firstLine="420"/>
        <w:rPr>
          <w:sz w:val="21"/>
          <w:szCs w:val="21"/>
          <w:lang w:eastAsia="zh-CN"/>
        </w:rPr>
      </w:pPr>
    </w:p>
    <w:p w14:paraId="7B3DBD5B" w14:textId="77777777" w:rsidR="006D4899" w:rsidRDefault="006D4899">
      <w:pPr>
        <w:widowControl/>
        <w:autoSpaceDE/>
        <w:autoSpaceDN/>
        <w:spacing w:after="4" w:line="400" w:lineRule="exact"/>
        <w:ind w:firstLineChars="200" w:firstLine="420"/>
        <w:rPr>
          <w:sz w:val="21"/>
          <w:szCs w:val="21"/>
          <w:lang w:eastAsia="zh-CN"/>
        </w:rPr>
      </w:pPr>
    </w:p>
    <w:p w14:paraId="0A963D81" w14:textId="77777777" w:rsidR="006D4899" w:rsidRDefault="006D4899">
      <w:pPr>
        <w:widowControl/>
        <w:autoSpaceDE/>
        <w:autoSpaceDN/>
        <w:spacing w:after="4" w:line="400" w:lineRule="exact"/>
        <w:ind w:firstLineChars="200" w:firstLine="420"/>
        <w:rPr>
          <w:sz w:val="21"/>
          <w:szCs w:val="21"/>
          <w:lang w:eastAsia="zh-CN"/>
        </w:rPr>
      </w:pPr>
    </w:p>
    <w:p w14:paraId="40C231A4" w14:textId="77777777" w:rsidR="006D4899" w:rsidRDefault="006D4899">
      <w:pPr>
        <w:widowControl/>
        <w:autoSpaceDE/>
        <w:autoSpaceDN/>
        <w:spacing w:after="4" w:line="400" w:lineRule="exact"/>
        <w:ind w:firstLineChars="200" w:firstLine="420"/>
        <w:rPr>
          <w:sz w:val="21"/>
          <w:szCs w:val="21"/>
          <w:lang w:eastAsia="zh-CN"/>
        </w:rPr>
      </w:pPr>
    </w:p>
    <w:p w14:paraId="74F727C2" w14:textId="77777777" w:rsidR="006D4899" w:rsidRDefault="006D4899">
      <w:pPr>
        <w:widowControl/>
        <w:autoSpaceDE/>
        <w:autoSpaceDN/>
        <w:spacing w:after="4" w:line="400" w:lineRule="exact"/>
        <w:ind w:firstLineChars="200" w:firstLine="420"/>
        <w:rPr>
          <w:sz w:val="21"/>
          <w:szCs w:val="21"/>
          <w:lang w:eastAsia="zh-CN"/>
        </w:rPr>
      </w:pPr>
    </w:p>
    <w:p w14:paraId="48BD2CBF" w14:textId="77777777" w:rsidR="006D4899" w:rsidRDefault="006D4899">
      <w:pPr>
        <w:widowControl/>
        <w:autoSpaceDE/>
        <w:autoSpaceDN/>
        <w:spacing w:after="4" w:line="400" w:lineRule="exact"/>
        <w:ind w:firstLineChars="200" w:firstLine="420"/>
        <w:rPr>
          <w:sz w:val="21"/>
          <w:szCs w:val="21"/>
          <w:lang w:eastAsia="zh-CN"/>
        </w:rPr>
      </w:pPr>
    </w:p>
    <w:p w14:paraId="1C6A6B30" w14:textId="77777777" w:rsidR="006D4899" w:rsidRDefault="006D4899">
      <w:pPr>
        <w:widowControl/>
        <w:autoSpaceDE/>
        <w:autoSpaceDN/>
        <w:spacing w:after="4" w:line="400" w:lineRule="exact"/>
        <w:ind w:firstLineChars="200" w:firstLine="420"/>
        <w:rPr>
          <w:sz w:val="21"/>
          <w:szCs w:val="21"/>
          <w:lang w:eastAsia="zh-CN"/>
        </w:rPr>
      </w:pPr>
    </w:p>
    <w:p w14:paraId="399ED513" w14:textId="77777777" w:rsidR="006D4899" w:rsidRDefault="006D4899">
      <w:pPr>
        <w:widowControl/>
        <w:autoSpaceDE/>
        <w:autoSpaceDN/>
        <w:spacing w:after="4" w:line="400" w:lineRule="exact"/>
        <w:ind w:firstLineChars="200" w:firstLine="420"/>
        <w:rPr>
          <w:sz w:val="21"/>
          <w:szCs w:val="21"/>
          <w:lang w:eastAsia="zh-CN"/>
        </w:rPr>
      </w:pPr>
    </w:p>
    <w:p w14:paraId="1D60FC11" w14:textId="77777777" w:rsidR="006D4899" w:rsidRDefault="006D4899">
      <w:pPr>
        <w:widowControl/>
        <w:autoSpaceDE/>
        <w:autoSpaceDN/>
        <w:spacing w:after="4" w:line="400" w:lineRule="exact"/>
        <w:ind w:firstLineChars="200" w:firstLine="420"/>
        <w:rPr>
          <w:sz w:val="21"/>
          <w:szCs w:val="21"/>
          <w:lang w:eastAsia="zh-CN"/>
        </w:rPr>
      </w:pPr>
    </w:p>
    <w:p w14:paraId="2CB2DA90" w14:textId="77777777" w:rsidR="006D4899" w:rsidRDefault="006D4899">
      <w:pPr>
        <w:widowControl/>
        <w:autoSpaceDE/>
        <w:autoSpaceDN/>
        <w:spacing w:after="4" w:line="400" w:lineRule="exact"/>
        <w:ind w:firstLineChars="200" w:firstLine="420"/>
        <w:rPr>
          <w:sz w:val="21"/>
          <w:szCs w:val="21"/>
          <w:lang w:eastAsia="zh-CN"/>
        </w:rPr>
      </w:pPr>
    </w:p>
    <w:p w14:paraId="64779D9A" w14:textId="77777777" w:rsidR="006D4899" w:rsidRDefault="006D4899">
      <w:pPr>
        <w:widowControl/>
        <w:autoSpaceDE/>
        <w:autoSpaceDN/>
        <w:spacing w:after="4" w:line="400" w:lineRule="exact"/>
        <w:ind w:firstLineChars="200" w:firstLine="420"/>
        <w:rPr>
          <w:sz w:val="21"/>
          <w:szCs w:val="21"/>
          <w:lang w:eastAsia="zh-CN"/>
        </w:rPr>
      </w:pPr>
    </w:p>
    <w:p w14:paraId="5BE60E3C" w14:textId="77777777" w:rsidR="006D4899" w:rsidRDefault="006D4899">
      <w:pPr>
        <w:widowControl/>
        <w:autoSpaceDE/>
        <w:autoSpaceDN/>
        <w:spacing w:after="4" w:line="400" w:lineRule="exact"/>
        <w:ind w:firstLineChars="200" w:firstLine="420"/>
        <w:rPr>
          <w:sz w:val="21"/>
          <w:szCs w:val="21"/>
          <w:lang w:eastAsia="zh-CN"/>
        </w:rPr>
      </w:pPr>
    </w:p>
    <w:p w14:paraId="23BD0637" w14:textId="77777777" w:rsidR="006D4899" w:rsidRDefault="006D4899">
      <w:pPr>
        <w:widowControl/>
        <w:autoSpaceDE/>
        <w:autoSpaceDN/>
        <w:spacing w:after="4" w:line="400" w:lineRule="exact"/>
        <w:ind w:firstLineChars="200" w:firstLine="420"/>
        <w:rPr>
          <w:sz w:val="21"/>
          <w:szCs w:val="21"/>
          <w:lang w:eastAsia="zh-CN"/>
        </w:rPr>
      </w:pPr>
    </w:p>
    <w:p w14:paraId="25A42D78" w14:textId="77777777" w:rsidR="006D4899" w:rsidRDefault="006D4899">
      <w:pPr>
        <w:widowControl/>
        <w:autoSpaceDE/>
        <w:autoSpaceDN/>
        <w:spacing w:after="4" w:line="400" w:lineRule="exact"/>
        <w:ind w:firstLineChars="200" w:firstLine="420"/>
        <w:rPr>
          <w:sz w:val="21"/>
          <w:szCs w:val="21"/>
          <w:lang w:eastAsia="zh-CN"/>
        </w:rPr>
      </w:pPr>
    </w:p>
    <w:p w14:paraId="267124FE" w14:textId="77777777" w:rsidR="006D4899" w:rsidRDefault="006D4899">
      <w:pPr>
        <w:widowControl/>
        <w:autoSpaceDE/>
        <w:autoSpaceDN/>
        <w:spacing w:after="4" w:line="400" w:lineRule="exact"/>
        <w:ind w:firstLineChars="200" w:firstLine="420"/>
        <w:rPr>
          <w:sz w:val="21"/>
          <w:szCs w:val="21"/>
          <w:lang w:eastAsia="zh-CN"/>
        </w:rPr>
      </w:pPr>
    </w:p>
    <w:p w14:paraId="5DA4FA4A" w14:textId="77777777" w:rsidR="006D4899" w:rsidRDefault="006D4899">
      <w:pPr>
        <w:widowControl/>
        <w:autoSpaceDE/>
        <w:autoSpaceDN/>
        <w:spacing w:after="4" w:line="400" w:lineRule="exact"/>
        <w:ind w:firstLineChars="200" w:firstLine="420"/>
        <w:rPr>
          <w:sz w:val="21"/>
          <w:szCs w:val="21"/>
          <w:lang w:eastAsia="zh-CN"/>
        </w:rPr>
      </w:pPr>
    </w:p>
    <w:p w14:paraId="1D22D6CE" w14:textId="77777777" w:rsidR="006D4899" w:rsidRDefault="006D4899">
      <w:pPr>
        <w:widowControl/>
        <w:autoSpaceDE/>
        <w:autoSpaceDN/>
        <w:spacing w:after="4" w:line="400" w:lineRule="exact"/>
        <w:rPr>
          <w:sz w:val="21"/>
          <w:szCs w:val="21"/>
          <w:lang w:eastAsia="zh-CN"/>
        </w:rPr>
      </w:pPr>
    </w:p>
    <w:p w14:paraId="5C976238" w14:textId="77777777" w:rsidR="006D4899" w:rsidRDefault="006D4899">
      <w:pPr>
        <w:widowControl/>
        <w:autoSpaceDE/>
        <w:autoSpaceDN/>
        <w:spacing w:after="4" w:line="400" w:lineRule="exact"/>
        <w:rPr>
          <w:sz w:val="21"/>
          <w:szCs w:val="21"/>
          <w:lang w:eastAsia="zh-CN"/>
        </w:rPr>
      </w:pPr>
    </w:p>
    <w:p w14:paraId="369FDFD4" w14:textId="77777777" w:rsidR="006D4899" w:rsidRDefault="00000000">
      <w:pPr>
        <w:widowControl/>
        <w:autoSpaceDE/>
        <w:autoSpaceDN/>
        <w:spacing w:after="4" w:line="400" w:lineRule="exact"/>
        <w:rPr>
          <w:sz w:val="21"/>
          <w:szCs w:val="21"/>
          <w:lang w:eastAsia="zh-CN"/>
        </w:rPr>
      </w:pPr>
      <w:r>
        <w:rPr>
          <w:rFonts w:hint="eastAsia"/>
          <w:sz w:val="21"/>
          <w:szCs w:val="21"/>
          <w:lang w:eastAsia="zh-CN"/>
        </w:rPr>
        <w:t>附录</w:t>
      </w:r>
    </w:p>
    <w:p w14:paraId="2E5A878E" w14:textId="77777777" w:rsidR="006D4899" w:rsidRDefault="006D4899">
      <w:pPr>
        <w:widowControl/>
        <w:autoSpaceDE/>
        <w:autoSpaceDN/>
        <w:spacing w:after="4" w:line="400" w:lineRule="exact"/>
        <w:rPr>
          <w:sz w:val="21"/>
          <w:szCs w:val="21"/>
          <w:lang w:eastAsia="zh-CN"/>
        </w:rPr>
      </w:pPr>
    </w:p>
    <w:tbl>
      <w:tblPr>
        <w:tblStyle w:val="ad"/>
        <w:tblW w:w="0" w:type="auto"/>
        <w:jc w:val="center"/>
        <w:tblLook w:val="04A0" w:firstRow="1" w:lastRow="0" w:firstColumn="1" w:lastColumn="0" w:noHBand="0" w:noVBand="1"/>
      </w:tblPr>
      <w:tblGrid>
        <w:gridCol w:w="1466"/>
        <w:gridCol w:w="1920"/>
        <w:gridCol w:w="5470"/>
      </w:tblGrid>
      <w:tr w:rsidR="006D4899" w14:paraId="09CA450D" w14:textId="77777777">
        <w:trPr>
          <w:trHeight w:val="365"/>
          <w:jc w:val="center"/>
        </w:trPr>
        <w:tc>
          <w:tcPr>
            <w:tcW w:w="1466" w:type="dxa"/>
            <w:vAlign w:val="center"/>
          </w:tcPr>
          <w:p w14:paraId="620F2D9F" w14:textId="77777777" w:rsidR="006D4899" w:rsidRDefault="00000000">
            <w:pPr>
              <w:jc w:val="center"/>
              <w:rPr>
                <w:sz w:val="21"/>
                <w:szCs w:val="24"/>
              </w:rPr>
            </w:pPr>
            <w:proofErr w:type="spellStart"/>
            <w:r>
              <w:rPr>
                <w:rFonts w:hint="eastAsia"/>
                <w:sz w:val="21"/>
                <w:szCs w:val="24"/>
              </w:rPr>
              <w:t>类别</w:t>
            </w:r>
            <w:proofErr w:type="spellEnd"/>
          </w:p>
        </w:tc>
        <w:tc>
          <w:tcPr>
            <w:tcW w:w="1920" w:type="dxa"/>
            <w:vAlign w:val="center"/>
          </w:tcPr>
          <w:p w14:paraId="7B562132" w14:textId="77777777" w:rsidR="006D4899" w:rsidRDefault="00000000">
            <w:pPr>
              <w:jc w:val="center"/>
              <w:rPr>
                <w:sz w:val="21"/>
                <w:szCs w:val="24"/>
              </w:rPr>
            </w:pPr>
            <w:proofErr w:type="spellStart"/>
            <w:r>
              <w:rPr>
                <w:rFonts w:hint="eastAsia"/>
                <w:sz w:val="21"/>
                <w:szCs w:val="24"/>
              </w:rPr>
              <w:t>特征</w:t>
            </w:r>
            <w:proofErr w:type="spellEnd"/>
          </w:p>
        </w:tc>
        <w:tc>
          <w:tcPr>
            <w:tcW w:w="5470" w:type="dxa"/>
            <w:vAlign w:val="center"/>
          </w:tcPr>
          <w:p w14:paraId="324485B5" w14:textId="77777777" w:rsidR="006D4899" w:rsidRDefault="00000000">
            <w:pPr>
              <w:jc w:val="center"/>
              <w:rPr>
                <w:sz w:val="21"/>
                <w:szCs w:val="24"/>
                <w:lang w:eastAsia="zh-CN"/>
              </w:rPr>
            </w:pPr>
            <w:r>
              <w:rPr>
                <w:rFonts w:hint="eastAsia"/>
                <w:sz w:val="21"/>
                <w:szCs w:val="24"/>
                <w:lang w:eastAsia="zh-CN"/>
              </w:rPr>
              <w:t>常见组分或者废物名称</w:t>
            </w:r>
          </w:p>
        </w:tc>
      </w:tr>
      <w:tr w:rsidR="006D4899" w14:paraId="77001B7C" w14:textId="77777777">
        <w:trPr>
          <w:trHeight w:val="1476"/>
          <w:jc w:val="center"/>
        </w:trPr>
        <w:tc>
          <w:tcPr>
            <w:tcW w:w="1466" w:type="dxa"/>
            <w:vMerge w:val="restart"/>
            <w:vAlign w:val="center"/>
          </w:tcPr>
          <w:p w14:paraId="2FC7C476" w14:textId="77777777" w:rsidR="006D4899" w:rsidRDefault="00000000">
            <w:pPr>
              <w:jc w:val="center"/>
              <w:rPr>
                <w:sz w:val="21"/>
                <w:szCs w:val="24"/>
              </w:rPr>
            </w:pPr>
            <w:proofErr w:type="spellStart"/>
            <w:r>
              <w:rPr>
                <w:rFonts w:hint="eastAsia"/>
                <w:sz w:val="21"/>
                <w:szCs w:val="24"/>
              </w:rPr>
              <w:t>感染性废物</w:t>
            </w:r>
            <w:proofErr w:type="spellEnd"/>
          </w:p>
        </w:tc>
        <w:tc>
          <w:tcPr>
            <w:tcW w:w="1920" w:type="dxa"/>
            <w:vMerge w:val="restart"/>
            <w:vAlign w:val="center"/>
          </w:tcPr>
          <w:p w14:paraId="1DC8BA50" w14:textId="77777777" w:rsidR="006D4899" w:rsidRDefault="00000000">
            <w:pPr>
              <w:rPr>
                <w:sz w:val="21"/>
                <w:szCs w:val="24"/>
                <w:lang w:eastAsia="zh-CN"/>
              </w:rPr>
            </w:pPr>
            <w:r>
              <w:rPr>
                <w:rFonts w:hint="eastAsia"/>
                <w:sz w:val="21"/>
                <w:szCs w:val="24"/>
                <w:lang w:eastAsia="zh-CN"/>
              </w:rPr>
              <w:t>携带病原微生物具有引发感染性疾病传播危险的医疗废物。</w:t>
            </w:r>
          </w:p>
        </w:tc>
        <w:tc>
          <w:tcPr>
            <w:tcW w:w="5470" w:type="dxa"/>
            <w:vAlign w:val="center"/>
          </w:tcPr>
          <w:p w14:paraId="38A04191" w14:textId="77777777" w:rsidR="006D4899" w:rsidRDefault="00000000">
            <w:pPr>
              <w:rPr>
                <w:sz w:val="21"/>
                <w:szCs w:val="24"/>
                <w:lang w:eastAsia="zh-CN"/>
              </w:rPr>
            </w:pPr>
            <w:r>
              <w:rPr>
                <w:rFonts w:hint="eastAsia"/>
                <w:sz w:val="21"/>
                <w:szCs w:val="24"/>
                <w:lang w:eastAsia="zh-CN"/>
              </w:rPr>
              <w:t>1、被病人血液、体液、排泄物污染的物品，包括:——棉球、棉签、引流棉条、纱布及其他各种敷料；——一次性使用卫生用品、一次性使用医疗用品及一次性医疗器械；——废弃的被服；——其他被病人血液、体液、排泄物污染的物品。</w:t>
            </w:r>
          </w:p>
        </w:tc>
      </w:tr>
      <w:tr w:rsidR="006D4899" w14:paraId="113180FB" w14:textId="77777777">
        <w:trPr>
          <w:trHeight w:val="821"/>
          <w:jc w:val="center"/>
        </w:trPr>
        <w:tc>
          <w:tcPr>
            <w:tcW w:w="1466" w:type="dxa"/>
            <w:vMerge/>
            <w:vAlign w:val="center"/>
          </w:tcPr>
          <w:p w14:paraId="5A2B4CA5" w14:textId="77777777" w:rsidR="006D4899" w:rsidRDefault="006D4899">
            <w:pPr>
              <w:jc w:val="center"/>
              <w:rPr>
                <w:sz w:val="21"/>
                <w:szCs w:val="24"/>
                <w:lang w:eastAsia="zh-CN"/>
              </w:rPr>
            </w:pPr>
          </w:p>
        </w:tc>
        <w:tc>
          <w:tcPr>
            <w:tcW w:w="1920" w:type="dxa"/>
            <w:vMerge/>
            <w:vAlign w:val="center"/>
          </w:tcPr>
          <w:p w14:paraId="4A2845A9" w14:textId="77777777" w:rsidR="006D4899" w:rsidRDefault="006D4899">
            <w:pPr>
              <w:rPr>
                <w:sz w:val="21"/>
                <w:szCs w:val="24"/>
                <w:lang w:eastAsia="zh-CN"/>
              </w:rPr>
            </w:pPr>
          </w:p>
        </w:tc>
        <w:tc>
          <w:tcPr>
            <w:tcW w:w="5470" w:type="dxa"/>
            <w:vAlign w:val="center"/>
          </w:tcPr>
          <w:p w14:paraId="06053792" w14:textId="77777777" w:rsidR="006D4899" w:rsidRDefault="00000000">
            <w:pPr>
              <w:rPr>
                <w:sz w:val="21"/>
                <w:szCs w:val="24"/>
                <w:lang w:eastAsia="zh-CN"/>
              </w:rPr>
            </w:pPr>
            <w:r>
              <w:rPr>
                <w:rFonts w:hint="eastAsia"/>
                <w:sz w:val="21"/>
                <w:szCs w:val="24"/>
                <w:lang w:eastAsia="zh-CN"/>
              </w:rPr>
              <w:t>2、医疗机构收治的隔离传染病病人或者疑似传染病病人产生的生活垃圾。</w:t>
            </w:r>
          </w:p>
        </w:tc>
      </w:tr>
      <w:tr w:rsidR="006D4899" w14:paraId="27255FE2" w14:textId="77777777">
        <w:trPr>
          <w:trHeight w:val="392"/>
          <w:jc w:val="center"/>
        </w:trPr>
        <w:tc>
          <w:tcPr>
            <w:tcW w:w="1466" w:type="dxa"/>
            <w:vMerge/>
            <w:vAlign w:val="center"/>
          </w:tcPr>
          <w:p w14:paraId="332DE5B7" w14:textId="77777777" w:rsidR="006D4899" w:rsidRDefault="006D4899">
            <w:pPr>
              <w:jc w:val="center"/>
              <w:rPr>
                <w:sz w:val="21"/>
                <w:szCs w:val="24"/>
                <w:lang w:eastAsia="zh-CN"/>
              </w:rPr>
            </w:pPr>
          </w:p>
        </w:tc>
        <w:tc>
          <w:tcPr>
            <w:tcW w:w="1920" w:type="dxa"/>
            <w:vMerge/>
            <w:vAlign w:val="center"/>
          </w:tcPr>
          <w:p w14:paraId="02D270BB" w14:textId="77777777" w:rsidR="006D4899" w:rsidRDefault="006D4899">
            <w:pPr>
              <w:rPr>
                <w:sz w:val="21"/>
                <w:szCs w:val="24"/>
                <w:lang w:eastAsia="zh-CN"/>
              </w:rPr>
            </w:pPr>
          </w:p>
        </w:tc>
        <w:tc>
          <w:tcPr>
            <w:tcW w:w="5470" w:type="dxa"/>
            <w:vAlign w:val="center"/>
          </w:tcPr>
          <w:p w14:paraId="5E3B61D7" w14:textId="77777777" w:rsidR="006D4899" w:rsidRDefault="00000000">
            <w:pPr>
              <w:rPr>
                <w:sz w:val="21"/>
                <w:szCs w:val="24"/>
                <w:lang w:eastAsia="zh-CN"/>
              </w:rPr>
            </w:pPr>
            <w:r>
              <w:rPr>
                <w:rFonts w:hint="eastAsia"/>
                <w:sz w:val="21"/>
                <w:szCs w:val="24"/>
                <w:lang w:eastAsia="zh-CN"/>
              </w:rPr>
              <w:t>3、病原体的培养基、标本和菌种、毒种保存液。</w:t>
            </w:r>
          </w:p>
        </w:tc>
      </w:tr>
      <w:tr w:rsidR="006D4899" w14:paraId="6E4F6FE8" w14:textId="77777777">
        <w:trPr>
          <w:trHeight w:val="437"/>
          <w:jc w:val="center"/>
        </w:trPr>
        <w:tc>
          <w:tcPr>
            <w:tcW w:w="1466" w:type="dxa"/>
            <w:vMerge/>
            <w:vAlign w:val="center"/>
          </w:tcPr>
          <w:p w14:paraId="5FDC255C" w14:textId="77777777" w:rsidR="006D4899" w:rsidRDefault="006D4899">
            <w:pPr>
              <w:jc w:val="center"/>
              <w:rPr>
                <w:sz w:val="21"/>
                <w:szCs w:val="24"/>
                <w:lang w:eastAsia="zh-CN"/>
              </w:rPr>
            </w:pPr>
          </w:p>
        </w:tc>
        <w:tc>
          <w:tcPr>
            <w:tcW w:w="1920" w:type="dxa"/>
            <w:vMerge/>
            <w:vAlign w:val="center"/>
          </w:tcPr>
          <w:p w14:paraId="1B922679" w14:textId="77777777" w:rsidR="006D4899" w:rsidRDefault="006D4899">
            <w:pPr>
              <w:rPr>
                <w:sz w:val="21"/>
                <w:szCs w:val="24"/>
                <w:lang w:eastAsia="zh-CN"/>
              </w:rPr>
            </w:pPr>
          </w:p>
        </w:tc>
        <w:tc>
          <w:tcPr>
            <w:tcW w:w="5470" w:type="dxa"/>
            <w:vAlign w:val="center"/>
          </w:tcPr>
          <w:p w14:paraId="50DAA096" w14:textId="77777777" w:rsidR="006D4899" w:rsidRDefault="00000000">
            <w:pPr>
              <w:rPr>
                <w:sz w:val="21"/>
                <w:szCs w:val="24"/>
                <w:lang w:eastAsia="zh-CN"/>
              </w:rPr>
            </w:pPr>
            <w:r>
              <w:rPr>
                <w:rFonts w:hint="eastAsia"/>
                <w:sz w:val="21"/>
                <w:szCs w:val="24"/>
                <w:lang w:eastAsia="zh-CN"/>
              </w:rPr>
              <w:t>4、各种废弃的医学标本。</w:t>
            </w:r>
          </w:p>
        </w:tc>
      </w:tr>
      <w:tr w:rsidR="006D4899" w14:paraId="3B582215" w14:textId="77777777">
        <w:trPr>
          <w:trHeight w:val="412"/>
          <w:jc w:val="center"/>
        </w:trPr>
        <w:tc>
          <w:tcPr>
            <w:tcW w:w="1466" w:type="dxa"/>
            <w:vMerge/>
            <w:vAlign w:val="center"/>
          </w:tcPr>
          <w:p w14:paraId="78851A2E" w14:textId="77777777" w:rsidR="006D4899" w:rsidRDefault="006D4899">
            <w:pPr>
              <w:jc w:val="center"/>
              <w:rPr>
                <w:sz w:val="21"/>
                <w:szCs w:val="24"/>
                <w:lang w:eastAsia="zh-CN"/>
              </w:rPr>
            </w:pPr>
          </w:p>
        </w:tc>
        <w:tc>
          <w:tcPr>
            <w:tcW w:w="1920" w:type="dxa"/>
            <w:vMerge/>
            <w:vAlign w:val="center"/>
          </w:tcPr>
          <w:p w14:paraId="254A3D24" w14:textId="77777777" w:rsidR="006D4899" w:rsidRDefault="006D4899">
            <w:pPr>
              <w:rPr>
                <w:sz w:val="21"/>
                <w:szCs w:val="24"/>
                <w:lang w:eastAsia="zh-CN"/>
              </w:rPr>
            </w:pPr>
          </w:p>
        </w:tc>
        <w:tc>
          <w:tcPr>
            <w:tcW w:w="5470" w:type="dxa"/>
            <w:vAlign w:val="center"/>
          </w:tcPr>
          <w:p w14:paraId="2C184D3F" w14:textId="77777777" w:rsidR="006D4899" w:rsidRDefault="00000000">
            <w:pPr>
              <w:rPr>
                <w:sz w:val="21"/>
                <w:szCs w:val="24"/>
                <w:lang w:eastAsia="zh-CN"/>
              </w:rPr>
            </w:pPr>
            <w:r>
              <w:rPr>
                <w:rFonts w:hint="eastAsia"/>
                <w:sz w:val="21"/>
                <w:szCs w:val="24"/>
                <w:lang w:eastAsia="zh-CN"/>
              </w:rPr>
              <w:t>5、废弃的血液、血清。</w:t>
            </w:r>
          </w:p>
        </w:tc>
      </w:tr>
      <w:tr w:rsidR="006D4899" w14:paraId="3AC9B2DF" w14:textId="77777777">
        <w:trPr>
          <w:trHeight w:val="771"/>
          <w:jc w:val="center"/>
        </w:trPr>
        <w:tc>
          <w:tcPr>
            <w:tcW w:w="1466" w:type="dxa"/>
            <w:vMerge/>
            <w:vAlign w:val="center"/>
          </w:tcPr>
          <w:p w14:paraId="3F20624F" w14:textId="77777777" w:rsidR="006D4899" w:rsidRDefault="006D4899">
            <w:pPr>
              <w:jc w:val="center"/>
              <w:rPr>
                <w:sz w:val="21"/>
                <w:szCs w:val="24"/>
                <w:lang w:eastAsia="zh-CN"/>
              </w:rPr>
            </w:pPr>
          </w:p>
        </w:tc>
        <w:tc>
          <w:tcPr>
            <w:tcW w:w="1920" w:type="dxa"/>
            <w:vMerge/>
            <w:vAlign w:val="center"/>
          </w:tcPr>
          <w:p w14:paraId="58685301" w14:textId="77777777" w:rsidR="006D4899" w:rsidRDefault="006D4899">
            <w:pPr>
              <w:rPr>
                <w:sz w:val="21"/>
                <w:szCs w:val="24"/>
                <w:lang w:eastAsia="zh-CN"/>
              </w:rPr>
            </w:pPr>
          </w:p>
        </w:tc>
        <w:tc>
          <w:tcPr>
            <w:tcW w:w="5470" w:type="dxa"/>
            <w:vAlign w:val="center"/>
          </w:tcPr>
          <w:p w14:paraId="35453331" w14:textId="77777777" w:rsidR="006D4899" w:rsidRDefault="00000000">
            <w:pPr>
              <w:rPr>
                <w:sz w:val="21"/>
                <w:szCs w:val="24"/>
                <w:lang w:eastAsia="zh-CN"/>
              </w:rPr>
            </w:pPr>
            <w:r>
              <w:rPr>
                <w:rFonts w:hint="eastAsia"/>
                <w:sz w:val="21"/>
                <w:szCs w:val="24"/>
                <w:lang w:eastAsia="zh-CN"/>
              </w:rPr>
              <w:t>6、使用后的一次性使用医疗用品及一次性医疗器械视为感染性废物。</w:t>
            </w:r>
          </w:p>
        </w:tc>
      </w:tr>
      <w:tr w:rsidR="006D4899" w14:paraId="106D412E" w14:textId="77777777">
        <w:trPr>
          <w:trHeight w:val="455"/>
          <w:jc w:val="center"/>
        </w:trPr>
        <w:tc>
          <w:tcPr>
            <w:tcW w:w="1466" w:type="dxa"/>
            <w:vMerge w:val="restart"/>
            <w:vAlign w:val="center"/>
          </w:tcPr>
          <w:p w14:paraId="66DFE735" w14:textId="77777777" w:rsidR="006D4899" w:rsidRDefault="00000000">
            <w:pPr>
              <w:jc w:val="center"/>
              <w:rPr>
                <w:sz w:val="21"/>
                <w:szCs w:val="24"/>
              </w:rPr>
            </w:pPr>
            <w:proofErr w:type="spellStart"/>
            <w:r>
              <w:rPr>
                <w:rFonts w:hint="eastAsia"/>
                <w:sz w:val="21"/>
                <w:szCs w:val="24"/>
              </w:rPr>
              <w:t>病理性废物</w:t>
            </w:r>
            <w:proofErr w:type="spellEnd"/>
          </w:p>
        </w:tc>
        <w:tc>
          <w:tcPr>
            <w:tcW w:w="1920" w:type="dxa"/>
            <w:vMerge w:val="restart"/>
            <w:vAlign w:val="center"/>
          </w:tcPr>
          <w:p w14:paraId="36B5C00F" w14:textId="77777777" w:rsidR="006D4899" w:rsidRDefault="00000000">
            <w:pPr>
              <w:rPr>
                <w:sz w:val="21"/>
                <w:szCs w:val="24"/>
                <w:lang w:eastAsia="zh-CN"/>
              </w:rPr>
            </w:pPr>
            <w:r>
              <w:rPr>
                <w:rFonts w:hint="eastAsia"/>
                <w:sz w:val="21"/>
                <w:szCs w:val="24"/>
                <w:lang w:eastAsia="zh-CN"/>
              </w:rPr>
              <w:t>诊疗过程中产生的人体废弃物和医学实验动物尸体等。</w:t>
            </w:r>
          </w:p>
        </w:tc>
        <w:tc>
          <w:tcPr>
            <w:tcW w:w="5470" w:type="dxa"/>
            <w:vAlign w:val="center"/>
          </w:tcPr>
          <w:p w14:paraId="7595D730" w14:textId="77777777" w:rsidR="006D4899" w:rsidRDefault="00000000">
            <w:pPr>
              <w:rPr>
                <w:sz w:val="21"/>
                <w:szCs w:val="24"/>
                <w:lang w:eastAsia="zh-CN"/>
              </w:rPr>
            </w:pPr>
            <w:r>
              <w:rPr>
                <w:rFonts w:hint="eastAsia"/>
                <w:sz w:val="21"/>
                <w:szCs w:val="24"/>
                <w:lang w:eastAsia="zh-CN"/>
              </w:rPr>
              <w:t>1、手术及其他诊疗过程中产生的废弃的人体组织、器官等</w:t>
            </w:r>
          </w:p>
        </w:tc>
      </w:tr>
      <w:tr w:rsidR="006D4899" w14:paraId="5A5DC589" w14:textId="77777777">
        <w:trPr>
          <w:trHeight w:val="455"/>
          <w:jc w:val="center"/>
        </w:trPr>
        <w:tc>
          <w:tcPr>
            <w:tcW w:w="1466" w:type="dxa"/>
            <w:vMerge/>
            <w:vAlign w:val="center"/>
          </w:tcPr>
          <w:p w14:paraId="4A6A3530" w14:textId="77777777" w:rsidR="006D4899" w:rsidRDefault="006D4899">
            <w:pPr>
              <w:jc w:val="center"/>
              <w:rPr>
                <w:sz w:val="21"/>
                <w:szCs w:val="24"/>
                <w:lang w:eastAsia="zh-CN"/>
              </w:rPr>
            </w:pPr>
          </w:p>
        </w:tc>
        <w:tc>
          <w:tcPr>
            <w:tcW w:w="1920" w:type="dxa"/>
            <w:vMerge/>
            <w:vAlign w:val="center"/>
          </w:tcPr>
          <w:p w14:paraId="6787441B" w14:textId="77777777" w:rsidR="006D4899" w:rsidRDefault="006D4899">
            <w:pPr>
              <w:rPr>
                <w:sz w:val="21"/>
                <w:szCs w:val="24"/>
                <w:lang w:eastAsia="zh-CN"/>
              </w:rPr>
            </w:pPr>
          </w:p>
        </w:tc>
        <w:tc>
          <w:tcPr>
            <w:tcW w:w="5470" w:type="dxa"/>
            <w:vAlign w:val="center"/>
          </w:tcPr>
          <w:p w14:paraId="4B4CBF90" w14:textId="77777777" w:rsidR="006D4899" w:rsidRDefault="00000000">
            <w:pPr>
              <w:rPr>
                <w:sz w:val="21"/>
                <w:szCs w:val="24"/>
                <w:lang w:eastAsia="zh-CN"/>
              </w:rPr>
            </w:pPr>
            <w:r>
              <w:rPr>
                <w:rFonts w:hint="eastAsia"/>
                <w:sz w:val="21"/>
                <w:szCs w:val="24"/>
                <w:lang w:eastAsia="zh-CN"/>
              </w:rPr>
              <w:t>2、医学实验动物的组织、尸体。</w:t>
            </w:r>
          </w:p>
        </w:tc>
      </w:tr>
      <w:tr w:rsidR="006D4899" w14:paraId="03105A59" w14:textId="77777777">
        <w:trPr>
          <w:trHeight w:val="425"/>
          <w:jc w:val="center"/>
        </w:trPr>
        <w:tc>
          <w:tcPr>
            <w:tcW w:w="1466" w:type="dxa"/>
            <w:vMerge/>
            <w:vAlign w:val="center"/>
          </w:tcPr>
          <w:p w14:paraId="5A700AE2" w14:textId="77777777" w:rsidR="006D4899" w:rsidRDefault="006D4899">
            <w:pPr>
              <w:jc w:val="center"/>
              <w:rPr>
                <w:sz w:val="21"/>
                <w:szCs w:val="24"/>
                <w:lang w:eastAsia="zh-CN"/>
              </w:rPr>
            </w:pPr>
          </w:p>
        </w:tc>
        <w:tc>
          <w:tcPr>
            <w:tcW w:w="1920" w:type="dxa"/>
            <w:vMerge/>
            <w:vAlign w:val="center"/>
          </w:tcPr>
          <w:p w14:paraId="175E7272" w14:textId="77777777" w:rsidR="006D4899" w:rsidRDefault="006D4899">
            <w:pPr>
              <w:rPr>
                <w:sz w:val="21"/>
                <w:szCs w:val="24"/>
                <w:lang w:eastAsia="zh-CN"/>
              </w:rPr>
            </w:pPr>
          </w:p>
        </w:tc>
        <w:tc>
          <w:tcPr>
            <w:tcW w:w="5470" w:type="dxa"/>
            <w:vAlign w:val="center"/>
          </w:tcPr>
          <w:p w14:paraId="1D5939EF" w14:textId="77777777" w:rsidR="006D4899" w:rsidRDefault="00000000">
            <w:pPr>
              <w:rPr>
                <w:sz w:val="21"/>
                <w:szCs w:val="24"/>
                <w:lang w:eastAsia="zh-CN"/>
              </w:rPr>
            </w:pPr>
            <w:r>
              <w:rPr>
                <w:rFonts w:hint="eastAsia"/>
                <w:sz w:val="21"/>
                <w:szCs w:val="24"/>
                <w:lang w:eastAsia="zh-CN"/>
              </w:rPr>
              <w:t>3、病理切片后废弃的人体组织、</w:t>
            </w:r>
            <w:proofErr w:type="gramStart"/>
            <w:r>
              <w:rPr>
                <w:rFonts w:hint="eastAsia"/>
                <w:sz w:val="21"/>
                <w:szCs w:val="24"/>
                <w:lang w:eastAsia="zh-CN"/>
              </w:rPr>
              <w:t>病理腊块等</w:t>
            </w:r>
            <w:proofErr w:type="gramEnd"/>
            <w:r>
              <w:rPr>
                <w:rFonts w:hint="eastAsia"/>
                <w:sz w:val="21"/>
                <w:szCs w:val="24"/>
                <w:lang w:eastAsia="zh-CN"/>
              </w:rPr>
              <w:t>。</w:t>
            </w:r>
          </w:p>
        </w:tc>
      </w:tr>
      <w:tr w:rsidR="006D4899" w14:paraId="1E468B96" w14:textId="77777777">
        <w:trPr>
          <w:trHeight w:val="440"/>
          <w:jc w:val="center"/>
        </w:trPr>
        <w:tc>
          <w:tcPr>
            <w:tcW w:w="1466" w:type="dxa"/>
            <w:vMerge w:val="restart"/>
            <w:vAlign w:val="center"/>
          </w:tcPr>
          <w:p w14:paraId="2566B79D" w14:textId="77777777" w:rsidR="006D4899" w:rsidRDefault="00000000">
            <w:pPr>
              <w:jc w:val="center"/>
              <w:rPr>
                <w:sz w:val="21"/>
                <w:szCs w:val="24"/>
              </w:rPr>
            </w:pPr>
            <w:proofErr w:type="spellStart"/>
            <w:r>
              <w:rPr>
                <w:rFonts w:hint="eastAsia"/>
                <w:sz w:val="21"/>
                <w:szCs w:val="24"/>
              </w:rPr>
              <w:t>损伤性废物</w:t>
            </w:r>
            <w:proofErr w:type="spellEnd"/>
          </w:p>
        </w:tc>
        <w:tc>
          <w:tcPr>
            <w:tcW w:w="1920" w:type="dxa"/>
            <w:vMerge w:val="restart"/>
            <w:vAlign w:val="center"/>
          </w:tcPr>
          <w:p w14:paraId="709ECD1D" w14:textId="77777777" w:rsidR="006D4899" w:rsidRDefault="00000000">
            <w:pPr>
              <w:rPr>
                <w:sz w:val="21"/>
                <w:szCs w:val="24"/>
                <w:lang w:eastAsia="zh-CN"/>
              </w:rPr>
            </w:pPr>
            <w:r>
              <w:rPr>
                <w:rFonts w:hint="eastAsia"/>
                <w:sz w:val="21"/>
                <w:szCs w:val="24"/>
                <w:lang w:eastAsia="zh-CN"/>
              </w:rPr>
              <w:t>能够刺伤或者割伤人体的废弃的医用锐器。</w:t>
            </w:r>
          </w:p>
        </w:tc>
        <w:tc>
          <w:tcPr>
            <w:tcW w:w="5470" w:type="dxa"/>
            <w:vAlign w:val="center"/>
          </w:tcPr>
          <w:p w14:paraId="172FC288" w14:textId="77777777" w:rsidR="006D4899" w:rsidRDefault="00000000">
            <w:pPr>
              <w:rPr>
                <w:sz w:val="21"/>
                <w:szCs w:val="24"/>
                <w:lang w:eastAsia="zh-CN"/>
              </w:rPr>
            </w:pPr>
            <w:r>
              <w:rPr>
                <w:rFonts w:hint="eastAsia"/>
                <w:sz w:val="21"/>
                <w:szCs w:val="24"/>
                <w:lang w:eastAsia="zh-CN"/>
              </w:rPr>
              <w:t>1、医用针头、缝合针。</w:t>
            </w:r>
          </w:p>
        </w:tc>
      </w:tr>
      <w:tr w:rsidR="006D4899" w14:paraId="1506DEF9" w14:textId="77777777">
        <w:trPr>
          <w:trHeight w:val="570"/>
          <w:jc w:val="center"/>
        </w:trPr>
        <w:tc>
          <w:tcPr>
            <w:tcW w:w="1466" w:type="dxa"/>
            <w:vMerge/>
            <w:vAlign w:val="center"/>
          </w:tcPr>
          <w:p w14:paraId="1365CB77" w14:textId="77777777" w:rsidR="006D4899" w:rsidRDefault="006D4899">
            <w:pPr>
              <w:jc w:val="center"/>
              <w:rPr>
                <w:sz w:val="21"/>
                <w:szCs w:val="24"/>
                <w:lang w:eastAsia="zh-CN"/>
              </w:rPr>
            </w:pPr>
          </w:p>
        </w:tc>
        <w:tc>
          <w:tcPr>
            <w:tcW w:w="1920" w:type="dxa"/>
            <w:vMerge/>
            <w:vAlign w:val="center"/>
          </w:tcPr>
          <w:p w14:paraId="433B6321" w14:textId="77777777" w:rsidR="006D4899" w:rsidRDefault="006D4899">
            <w:pPr>
              <w:rPr>
                <w:sz w:val="21"/>
                <w:szCs w:val="24"/>
                <w:lang w:eastAsia="zh-CN"/>
              </w:rPr>
            </w:pPr>
          </w:p>
        </w:tc>
        <w:tc>
          <w:tcPr>
            <w:tcW w:w="5470" w:type="dxa"/>
            <w:vAlign w:val="center"/>
          </w:tcPr>
          <w:p w14:paraId="5856CD17" w14:textId="77777777" w:rsidR="006D4899" w:rsidRDefault="00000000">
            <w:pPr>
              <w:rPr>
                <w:sz w:val="21"/>
                <w:szCs w:val="24"/>
                <w:lang w:eastAsia="zh-CN"/>
              </w:rPr>
            </w:pPr>
            <w:r>
              <w:rPr>
                <w:rFonts w:hint="eastAsia"/>
                <w:sz w:val="21"/>
                <w:szCs w:val="24"/>
                <w:lang w:eastAsia="zh-CN"/>
              </w:rPr>
              <w:t>2、各类医用锐器，包括:解剖刀、手术刀、备皮刀、手术锯等。</w:t>
            </w:r>
          </w:p>
        </w:tc>
      </w:tr>
      <w:tr w:rsidR="006D4899" w14:paraId="5B93D174" w14:textId="77777777">
        <w:trPr>
          <w:trHeight w:val="385"/>
          <w:jc w:val="center"/>
        </w:trPr>
        <w:tc>
          <w:tcPr>
            <w:tcW w:w="1466" w:type="dxa"/>
            <w:vMerge/>
            <w:vAlign w:val="center"/>
          </w:tcPr>
          <w:p w14:paraId="43A4B459" w14:textId="77777777" w:rsidR="006D4899" w:rsidRDefault="006D4899">
            <w:pPr>
              <w:jc w:val="center"/>
              <w:rPr>
                <w:sz w:val="21"/>
                <w:szCs w:val="24"/>
                <w:lang w:eastAsia="zh-CN"/>
              </w:rPr>
            </w:pPr>
          </w:p>
        </w:tc>
        <w:tc>
          <w:tcPr>
            <w:tcW w:w="1920" w:type="dxa"/>
            <w:vMerge/>
            <w:vAlign w:val="center"/>
          </w:tcPr>
          <w:p w14:paraId="20A79586" w14:textId="77777777" w:rsidR="006D4899" w:rsidRDefault="006D4899">
            <w:pPr>
              <w:rPr>
                <w:sz w:val="21"/>
                <w:szCs w:val="24"/>
                <w:lang w:eastAsia="zh-CN"/>
              </w:rPr>
            </w:pPr>
          </w:p>
        </w:tc>
        <w:tc>
          <w:tcPr>
            <w:tcW w:w="5470" w:type="dxa"/>
            <w:vAlign w:val="center"/>
          </w:tcPr>
          <w:p w14:paraId="581FEB54" w14:textId="77777777" w:rsidR="006D4899" w:rsidRDefault="00000000">
            <w:pPr>
              <w:rPr>
                <w:sz w:val="21"/>
                <w:szCs w:val="24"/>
                <w:lang w:eastAsia="zh-CN"/>
              </w:rPr>
            </w:pPr>
            <w:r>
              <w:rPr>
                <w:rFonts w:hint="eastAsia"/>
                <w:sz w:val="21"/>
                <w:szCs w:val="24"/>
                <w:lang w:eastAsia="zh-CN"/>
              </w:rPr>
              <w:t>3、载玻片、玻璃试管、玻璃安瓿等。</w:t>
            </w:r>
          </w:p>
        </w:tc>
      </w:tr>
      <w:tr w:rsidR="006D4899" w14:paraId="36E5C353" w14:textId="77777777">
        <w:trPr>
          <w:trHeight w:val="456"/>
          <w:jc w:val="center"/>
        </w:trPr>
        <w:tc>
          <w:tcPr>
            <w:tcW w:w="1466" w:type="dxa"/>
            <w:vMerge w:val="restart"/>
            <w:vAlign w:val="center"/>
          </w:tcPr>
          <w:p w14:paraId="50D7241C" w14:textId="77777777" w:rsidR="006D4899" w:rsidRDefault="00000000">
            <w:pPr>
              <w:jc w:val="center"/>
              <w:rPr>
                <w:sz w:val="21"/>
                <w:szCs w:val="24"/>
              </w:rPr>
            </w:pPr>
            <w:proofErr w:type="spellStart"/>
            <w:r>
              <w:rPr>
                <w:rFonts w:hint="eastAsia"/>
                <w:sz w:val="21"/>
                <w:szCs w:val="24"/>
              </w:rPr>
              <w:t>药物性废物</w:t>
            </w:r>
            <w:proofErr w:type="spellEnd"/>
          </w:p>
        </w:tc>
        <w:tc>
          <w:tcPr>
            <w:tcW w:w="1920" w:type="dxa"/>
            <w:vMerge w:val="restart"/>
            <w:vAlign w:val="center"/>
          </w:tcPr>
          <w:p w14:paraId="68911F42" w14:textId="77777777" w:rsidR="006D4899" w:rsidRDefault="00000000">
            <w:pPr>
              <w:rPr>
                <w:sz w:val="21"/>
                <w:szCs w:val="24"/>
                <w:lang w:eastAsia="zh-CN"/>
              </w:rPr>
            </w:pPr>
            <w:r>
              <w:rPr>
                <w:rFonts w:hint="eastAsia"/>
                <w:sz w:val="21"/>
                <w:szCs w:val="24"/>
                <w:lang w:eastAsia="zh-CN"/>
              </w:rPr>
              <w:t>过期、海</w:t>
            </w:r>
            <w:proofErr w:type="gramStart"/>
            <w:r>
              <w:rPr>
                <w:rFonts w:hint="eastAsia"/>
                <w:sz w:val="21"/>
                <w:szCs w:val="24"/>
                <w:lang w:eastAsia="zh-CN"/>
              </w:rPr>
              <w:t>汰</w:t>
            </w:r>
            <w:proofErr w:type="gramEnd"/>
            <w:r>
              <w:rPr>
                <w:rFonts w:hint="eastAsia"/>
                <w:sz w:val="21"/>
                <w:szCs w:val="24"/>
                <w:lang w:eastAsia="zh-CN"/>
              </w:rPr>
              <w:t>、变质或者被污染的废弃的药品。</w:t>
            </w:r>
          </w:p>
        </w:tc>
        <w:tc>
          <w:tcPr>
            <w:tcW w:w="5470" w:type="dxa"/>
            <w:vAlign w:val="center"/>
          </w:tcPr>
          <w:p w14:paraId="2269260F" w14:textId="77777777" w:rsidR="006D4899" w:rsidRDefault="00000000">
            <w:pPr>
              <w:rPr>
                <w:sz w:val="21"/>
                <w:szCs w:val="24"/>
                <w:lang w:eastAsia="zh-CN"/>
              </w:rPr>
            </w:pPr>
            <w:r>
              <w:rPr>
                <w:rFonts w:hint="eastAsia"/>
                <w:sz w:val="21"/>
                <w:szCs w:val="24"/>
                <w:lang w:eastAsia="zh-CN"/>
              </w:rPr>
              <w:t>1、废弃的一般性药品，如:抗生素、非处方类药品等。</w:t>
            </w:r>
          </w:p>
        </w:tc>
      </w:tr>
      <w:tr w:rsidR="006D4899" w14:paraId="02C116FF" w14:textId="77777777">
        <w:trPr>
          <w:trHeight w:val="1141"/>
          <w:jc w:val="center"/>
        </w:trPr>
        <w:tc>
          <w:tcPr>
            <w:tcW w:w="1466" w:type="dxa"/>
            <w:vMerge/>
            <w:vAlign w:val="center"/>
          </w:tcPr>
          <w:p w14:paraId="278311A2" w14:textId="77777777" w:rsidR="006D4899" w:rsidRDefault="006D4899">
            <w:pPr>
              <w:jc w:val="center"/>
              <w:rPr>
                <w:sz w:val="21"/>
                <w:szCs w:val="24"/>
                <w:lang w:eastAsia="zh-CN"/>
              </w:rPr>
            </w:pPr>
          </w:p>
        </w:tc>
        <w:tc>
          <w:tcPr>
            <w:tcW w:w="1920" w:type="dxa"/>
            <w:vMerge/>
            <w:vAlign w:val="center"/>
          </w:tcPr>
          <w:p w14:paraId="6A483C74" w14:textId="77777777" w:rsidR="006D4899" w:rsidRDefault="006D4899">
            <w:pPr>
              <w:rPr>
                <w:sz w:val="21"/>
                <w:szCs w:val="24"/>
                <w:lang w:eastAsia="zh-CN"/>
              </w:rPr>
            </w:pPr>
          </w:p>
        </w:tc>
        <w:tc>
          <w:tcPr>
            <w:tcW w:w="5470" w:type="dxa"/>
            <w:vAlign w:val="center"/>
          </w:tcPr>
          <w:p w14:paraId="70442EB7" w14:textId="77777777" w:rsidR="006D4899" w:rsidRDefault="00000000">
            <w:pPr>
              <w:rPr>
                <w:sz w:val="21"/>
                <w:szCs w:val="24"/>
                <w:lang w:eastAsia="zh-CN"/>
              </w:rPr>
            </w:pPr>
            <w:r>
              <w:rPr>
                <w:rFonts w:hint="eastAsia"/>
                <w:sz w:val="21"/>
                <w:szCs w:val="24"/>
                <w:lang w:eastAsia="zh-CN"/>
              </w:rPr>
              <w:t>2、废弃的细胞毒性药物和遗传毒性药物，包括：—— 致癌性药物，如硫</w:t>
            </w:r>
            <w:proofErr w:type="gramStart"/>
            <w:r>
              <w:rPr>
                <w:rFonts w:hint="eastAsia"/>
                <w:sz w:val="21"/>
                <w:szCs w:val="24"/>
                <w:lang w:eastAsia="zh-CN"/>
              </w:rPr>
              <w:t>唑</w:t>
            </w:r>
            <w:proofErr w:type="gramEnd"/>
            <w:r>
              <w:rPr>
                <w:rFonts w:hint="eastAsia"/>
                <w:sz w:val="21"/>
                <w:szCs w:val="24"/>
                <w:lang w:eastAsia="zh-CN"/>
              </w:rPr>
              <w:t>嘌呤、苯丁酸氮</w:t>
            </w:r>
            <w:proofErr w:type="gramStart"/>
            <w:r>
              <w:rPr>
                <w:rFonts w:hint="eastAsia"/>
                <w:sz w:val="21"/>
                <w:szCs w:val="24"/>
                <w:lang w:eastAsia="zh-CN"/>
              </w:rPr>
              <w:t>芥</w:t>
            </w:r>
            <w:proofErr w:type="gramEnd"/>
            <w:r>
              <w:rPr>
                <w:rFonts w:hint="eastAsia"/>
                <w:sz w:val="21"/>
                <w:szCs w:val="24"/>
                <w:lang w:eastAsia="zh-CN"/>
              </w:rPr>
              <w:t>、</w:t>
            </w:r>
            <w:proofErr w:type="gramStart"/>
            <w:r>
              <w:rPr>
                <w:rFonts w:hint="eastAsia"/>
                <w:sz w:val="21"/>
                <w:szCs w:val="24"/>
                <w:lang w:eastAsia="zh-CN"/>
              </w:rPr>
              <w:t>萘</w:t>
            </w:r>
            <w:proofErr w:type="gramEnd"/>
            <w:r>
              <w:rPr>
                <w:rFonts w:hint="eastAsia"/>
                <w:sz w:val="21"/>
                <w:szCs w:val="24"/>
                <w:lang w:eastAsia="zh-CN"/>
              </w:rPr>
              <w:t>氮</w:t>
            </w:r>
            <w:proofErr w:type="gramStart"/>
            <w:r>
              <w:rPr>
                <w:rFonts w:hint="eastAsia"/>
                <w:sz w:val="21"/>
                <w:szCs w:val="24"/>
                <w:lang w:eastAsia="zh-CN"/>
              </w:rPr>
              <w:t>芥</w:t>
            </w:r>
            <w:proofErr w:type="gramEnd"/>
            <w:r>
              <w:rPr>
                <w:rFonts w:hint="eastAsia"/>
                <w:sz w:val="21"/>
                <w:szCs w:val="24"/>
                <w:lang w:eastAsia="zh-CN"/>
              </w:rPr>
              <w:t>、环</w:t>
            </w:r>
            <w:proofErr w:type="gramStart"/>
            <w:r>
              <w:rPr>
                <w:rFonts w:hint="eastAsia"/>
                <w:sz w:val="21"/>
                <w:szCs w:val="24"/>
                <w:lang w:eastAsia="zh-CN"/>
              </w:rPr>
              <w:t>孢</w:t>
            </w:r>
            <w:proofErr w:type="gramEnd"/>
            <w:r>
              <w:rPr>
                <w:rFonts w:hint="eastAsia"/>
                <w:sz w:val="21"/>
                <w:szCs w:val="24"/>
                <w:lang w:eastAsia="zh-CN"/>
              </w:rPr>
              <w:t>霉素、环磷酰胺、苯丙胺酸氮</w:t>
            </w:r>
            <w:proofErr w:type="gramStart"/>
            <w:r>
              <w:rPr>
                <w:rFonts w:hint="eastAsia"/>
                <w:sz w:val="21"/>
                <w:szCs w:val="24"/>
                <w:lang w:eastAsia="zh-CN"/>
              </w:rPr>
              <w:t>芥</w:t>
            </w:r>
            <w:proofErr w:type="gramEnd"/>
            <w:r>
              <w:rPr>
                <w:rFonts w:hint="eastAsia"/>
                <w:sz w:val="21"/>
                <w:szCs w:val="24"/>
                <w:lang w:eastAsia="zh-CN"/>
              </w:rPr>
              <w:t>、司莫司汀、三苯氧氨、</w:t>
            </w:r>
            <w:proofErr w:type="gramStart"/>
            <w:r>
              <w:rPr>
                <w:rFonts w:hint="eastAsia"/>
                <w:sz w:val="21"/>
                <w:szCs w:val="24"/>
                <w:lang w:eastAsia="zh-CN"/>
              </w:rPr>
              <w:t>硫替派</w:t>
            </w:r>
            <w:proofErr w:type="gramEnd"/>
            <w:r>
              <w:rPr>
                <w:rFonts w:hint="eastAsia"/>
                <w:sz w:val="21"/>
                <w:szCs w:val="24"/>
                <w:lang w:eastAsia="zh-CN"/>
              </w:rPr>
              <w:t>等； ——可疑致癌性药物,如:顺铂、丝裂霉素、阿霉素、苯巴比妥等 ;——免疫抑制剂。</w:t>
            </w:r>
          </w:p>
        </w:tc>
      </w:tr>
      <w:tr w:rsidR="006D4899" w14:paraId="27119382" w14:textId="77777777">
        <w:trPr>
          <w:trHeight w:val="431"/>
          <w:jc w:val="center"/>
        </w:trPr>
        <w:tc>
          <w:tcPr>
            <w:tcW w:w="1466" w:type="dxa"/>
            <w:vMerge/>
            <w:vAlign w:val="center"/>
          </w:tcPr>
          <w:p w14:paraId="449BF97F" w14:textId="77777777" w:rsidR="006D4899" w:rsidRDefault="006D4899">
            <w:pPr>
              <w:jc w:val="center"/>
              <w:rPr>
                <w:sz w:val="21"/>
                <w:szCs w:val="24"/>
                <w:lang w:eastAsia="zh-CN"/>
              </w:rPr>
            </w:pPr>
          </w:p>
        </w:tc>
        <w:tc>
          <w:tcPr>
            <w:tcW w:w="1920" w:type="dxa"/>
            <w:vMerge/>
            <w:vAlign w:val="center"/>
          </w:tcPr>
          <w:p w14:paraId="2EBF5435" w14:textId="77777777" w:rsidR="006D4899" w:rsidRDefault="006D4899">
            <w:pPr>
              <w:rPr>
                <w:sz w:val="21"/>
                <w:szCs w:val="24"/>
                <w:lang w:eastAsia="zh-CN"/>
              </w:rPr>
            </w:pPr>
          </w:p>
        </w:tc>
        <w:tc>
          <w:tcPr>
            <w:tcW w:w="5470" w:type="dxa"/>
            <w:vAlign w:val="center"/>
          </w:tcPr>
          <w:p w14:paraId="7D0E4247" w14:textId="77777777" w:rsidR="006D4899" w:rsidRDefault="00000000">
            <w:pPr>
              <w:rPr>
                <w:sz w:val="21"/>
                <w:szCs w:val="24"/>
                <w:lang w:eastAsia="zh-CN"/>
              </w:rPr>
            </w:pPr>
            <w:r>
              <w:rPr>
                <w:rFonts w:hint="eastAsia"/>
                <w:sz w:val="21"/>
                <w:szCs w:val="24"/>
                <w:lang w:eastAsia="zh-CN"/>
              </w:rPr>
              <w:t>3、废弃的疫苗、血液制品等。</w:t>
            </w:r>
          </w:p>
        </w:tc>
      </w:tr>
      <w:tr w:rsidR="006D4899" w14:paraId="26FE6D6D" w14:textId="77777777">
        <w:trPr>
          <w:trHeight w:val="500"/>
          <w:jc w:val="center"/>
        </w:trPr>
        <w:tc>
          <w:tcPr>
            <w:tcW w:w="1466" w:type="dxa"/>
            <w:vMerge w:val="restart"/>
            <w:vAlign w:val="center"/>
          </w:tcPr>
          <w:p w14:paraId="6854A37D" w14:textId="77777777" w:rsidR="006D4899" w:rsidRDefault="00000000">
            <w:pPr>
              <w:jc w:val="center"/>
              <w:rPr>
                <w:sz w:val="21"/>
                <w:szCs w:val="24"/>
                <w:lang w:eastAsia="zh-CN"/>
              </w:rPr>
            </w:pPr>
            <w:proofErr w:type="spellStart"/>
            <w:r>
              <w:rPr>
                <w:rFonts w:hint="eastAsia"/>
                <w:sz w:val="21"/>
                <w:szCs w:val="24"/>
              </w:rPr>
              <w:t>化学性</w:t>
            </w:r>
            <w:proofErr w:type="spellEnd"/>
            <w:r>
              <w:rPr>
                <w:rFonts w:hint="eastAsia"/>
                <w:sz w:val="21"/>
                <w:szCs w:val="24"/>
                <w:lang w:eastAsia="zh-CN"/>
              </w:rPr>
              <w:t>废物</w:t>
            </w:r>
          </w:p>
        </w:tc>
        <w:tc>
          <w:tcPr>
            <w:tcW w:w="1920" w:type="dxa"/>
            <w:vMerge w:val="restart"/>
            <w:vAlign w:val="center"/>
          </w:tcPr>
          <w:p w14:paraId="1210D445" w14:textId="77777777" w:rsidR="006D4899" w:rsidRDefault="00000000">
            <w:pPr>
              <w:rPr>
                <w:sz w:val="21"/>
                <w:szCs w:val="24"/>
                <w:lang w:eastAsia="zh-CN"/>
              </w:rPr>
            </w:pPr>
            <w:r>
              <w:rPr>
                <w:rFonts w:hint="eastAsia"/>
                <w:sz w:val="21"/>
                <w:szCs w:val="24"/>
                <w:lang w:eastAsia="zh-CN"/>
              </w:rPr>
              <w:t>具有毒性、腐蚀性、易燃易爆性的废弃的化学物品。</w:t>
            </w:r>
          </w:p>
        </w:tc>
        <w:tc>
          <w:tcPr>
            <w:tcW w:w="5470" w:type="dxa"/>
            <w:vAlign w:val="center"/>
          </w:tcPr>
          <w:p w14:paraId="2AAC1716" w14:textId="77777777" w:rsidR="006D4899" w:rsidRDefault="00000000">
            <w:pPr>
              <w:rPr>
                <w:sz w:val="21"/>
                <w:szCs w:val="24"/>
                <w:lang w:eastAsia="zh-CN"/>
              </w:rPr>
            </w:pPr>
            <w:r>
              <w:rPr>
                <w:rFonts w:hint="eastAsia"/>
                <w:sz w:val="21"/>
                <w:szCs w:val="24"/>
                <w:lang w:eastAsia="zh-CN"/>
              </w:rPr>
              <w:t>1、医学影像室、实验室废弃的化学试剂。</w:t>
            </w:r>
          </w:p>
        </w:tc>
      </w:tr>
      <w:tr w:rsidR="006D4899" w14:paraId="24574B06" w14:textId="77777777">
        <w:trPr>
          <w:trHeight w:val="480"/>
          <w:jc w:val="center"/>
        </w:trPr>
        <w:tc>
          <w:tcPr>
            <w:tcW w:w="1466" w:type="dxa"/>
            <w:vMerge/>
          </w:tcPr>
          <w:p w14:paraId="09B8BE8D" w14:textId="77777777" w:rsidR="006D4899" w:rsidRDefault="006D4899">
            <w:pPr>
              <w:rPr>
                <w:sz w:val="21"/>
                <w:szCs w:val="24"/>
                <w:lang w:eastAsia="zh-CN"/>
              </w:rPr>
            </w:pPr>
          </w:p>
        </w:tc>
        <w:tc>
          <w:tcPr>
            <w:tcW w:w="1920" w:type="dxa"/>
            <w:vMerge/>
          </w:tcPr>
          <w:p w14:paraId="0F72D36F" w14:textId="77777777" w:rsidR="006D4899" w:rsidRDefault="006D4899">
            <w:pPr>
              <w:rPr>
                <w:sz w:val="21"/>
                <w:szCs w:val="24"/>
                <w:lang w:eastAsia="zh-CN"/>
              </w:rPr>
            </w:pPr>
          </w:p>
        </w:tc>
        <w:tc>
          <w:tcPr>
            <w:tcW w:w="5470" w:type="dxa"/>
            <w:vAlign w:val="center"/>
          </w:tcPr>
          <w:p w14:paraId="4326033E" w14:textId="77777777" w:rsidR="006D4899" w:rsidRDefault="00000000">
            <w:pPr>
              <w:rPr>
                <w:sz w:val="21"/>
                <w:szCs w:val="24"/>
                <w:lang w:eastAsia="zh-CN"/>
              </w:rPr>
            </w:pPr>
            <w:r>
              <w:rPr>
                <w:rFonts w:hint="eastAsia"/>
                <w:sz w:val="21"/>
                <w:szCs w:val="24"/>
                <w:lang w:eastAsia="zh-CN"/>
              </w:rPr>
              <w:t>2、废弃的过氧乙酸、戊二醛等化学消毒剂。</w:t>
            </w:r>
          </w:p>
        </w:tc>
      </w:tr>
      <w:tr w:rsidR="006D4899" w14:paraId="1FDE04BF" w14:textId="77777777">
        <w:trPr>
          <w:trHeight w:val="430"/>
          <w:jc w:val="center"/>
        </w:trPr>
        <w:tc>
          <w:tcPr>
            <w:tcW w:w="1466" w:type="dxa"/>
            <w:vMerge/>
          </w:tcPr>
          <w:p w14:paraId="43E5F56E" w14:textId="77777777" w:rsidR="006D4899" w:rsidRDefault="006D4899">
            <w:pPr>
              <w:rPr>
                <w:sz w:val="21"/>
                <w:szCs w:val="24"/>
                <w:lang w:eastAsia="zh-CN"/>
              </w:rPr>
            </w:pPr>
          </w:p>
        </w:tc>
        <w:tc>
          <w:tcPr>
            <w:tcW w:w="1920" w:type="dxa"/>
            <w:vMerge/>
          </w:tcPr>
          <w:p w14:paraId="6805450A" w14:textId="77777777" w:rsidR="006D4899" w:rsidRDefault="006D4899">
            <w:pPr>
              <w:rPr>
                <w:sz w:val="21"/>
                <w:szCs w:val="24"/>
                <w:lang w:eastAsia="zh-CN"/>
              </w:rPr>
            </w:pPr>
          </w:p>
        </w:tc>
        <w:tc>
          <w:tcPr>
            <w:tcW w:w="5470" w:type="dxa"/>
            <w:vAlign w:val="center"/>
          </w:tcPr>
          <w:p w14:paraId="2D3686CC" w14:textId="77777777" w:rsidR="006D4899" w:rsidRDefault="00000000">
            <w:pPr>
              <w:rPr>
                <w:sz w:val="21"/>
                <w:szCs w:val="24"/>
                <w:lang w:eastAsia="zh-CN"/>
              </w:rPr>
            </w:pPr>
            <w:r>
              <w:rPr>
                <w:rFonts w:hint="eastAsia"/>
                <w:sz w:val="21"/>
                <w:szCs w:val="24"/>
                <w:lang w:eastAsia="zh-CN"/>
              </w:rPr>
              <w:t>3、废弃的汞血压计、汞温度计。</w:t>
            </w:r>
          </w:p>
        </w:tc>
      </w:tr>
    </w:tbl>
    <w:p w14:paraId="2368D58D" w14:textId="77777777" w:rsidR="006D4899" w:rsidRDefault="006D4899">
      <w:pPr>
        <w:widowControl/>
        <w:autoSpaceDE/>
        <w:autoSpaceDN/>
        <w:spacing w:after="4" w:line="400" w:lineRule="exact"/>
        <w:rPr>
          <w:sz w:val="21"/>
          <w:szCs w:val="21"/>
          <w:lang w:eastAsia="zh-CN"/>
        </w:rPr>
      </w:pPr>
    </w:p>
    <w:p w14:paraId="07D5449D" w14:textId="77777777" w:rsidR="006D4899" w:rsidRDefault="006D4899">
      <w:pPr>
        <w:pStyle w:val="a5"/>
        <w:rPr>
          <w:rFonts w:ascii="Times New Roman"/>
          <w:sz w:val="20"/>
          <w:lang w:eastAsia="zh-CN"/>
        </w:rPr>
      </w:pPr>
    </w:p>
    <w:sectPr w:rsidR="006D4899">
      <w:headerReference w:type="even" r:id="rId21"/>
      <w:headerReference w:type="default" r:id="rId22"/>
      <w:footerReference w:type="even" r:id="rId23"/>
      <w:footerReference w:type="default" r:id="rId24"/>
      <w:headerReference w:type="first" r:id="rId25"/>
      <w:footerReference w:type="first" r:id="rId26"/>
      <w:pgSz w:w="11911" w:h="16838"/>
      <w:pgMar w:top="1417" w:right="1134" w:bottom="1134" w:left="1417" w:header="0" w:footer="907" w:gutter="0"/>
      <w:pgNumType w:start="1"/>
      <w:cols w:space="0"/>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FCF3" w14:textId="77777777" w:rsidR="00E6289C" w:rsidRDefault="00E6289C">
      <w:r>
        <w:separator/>
      </w:r>
    </w:p>
  </w:endnote>
  <w:endnote w:type="continuationSeparator" w:id="0">
    <w:p w14:paraId="0C0652D0" w14:textId="77777777" w:rsidR="00E6289C" w:rsidRDefault="00E6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130" w14:textId="77777777" w:rsidR="006D4899" w:rsidRDefault="006D4899">
    <w:pPr>
      <w:pStyle w:val="aa"/>
      <w:tabs>
        <w:tab w:val="center" w:pos="4153"/>
        <w:tab w:val="right" w:pos="8306"/>
      </w:tabs>
      <w:ind w:righ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B8B8" w14:textId="77777777" w:rsidR="006D4899" w:rsidRDefault="006D4899">
    <w:pPr>
      <w:pStyle w:val="aa"/>
      <w:ind w:righ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75E0" w14:textId="77777777" w:rsidR="006D4899" w:rsidRDefault="006D4899">
    <w:pPr>
      <w:pStyle w:val="aa"/>
      <w:ind w:right="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6E90" w14:textId="77777777" w:rsidR="006D4899" w:rsidRDefault="006D4899">
    <w:pPr>
      <w:pStyle w:val="aa"/>
      <w:tabs>
        <w:tab w:val="center" w:pos="4153"/>
        <w:tab w:val="right" w:pos="8306"/>
      </w:tabs>
      <w:ind w:right="2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A6B4" w14:textId="77777777" w:rsidR="006D4899" w:rsidRDefault="00000000">
    <w:pPr>
      <w:pStyle w:val="aa"/>
      <w:tabs>
        <w:tab w:val="center" w:pos="4153"/>
        <w:tab w:val="right" w:pos="8306"/>
      </w:tabs>
      <w:ind w:right="220"/>
    </w:pPr>
    <w:r>
      <w:rPr>
        <w:noProof/>
      </w:rPr>
      <mc:AlternateContent>
        <mc:Choice Requires="wps">
          <w:drawing>
            <wp:anchor distT="0" distB="0" distL="114300" distR="114300" simplePos="0" relativeHeight="251659776" behindDoc="0" locked="0" layoutInCell="1" allowOverlap="1" wp14:anchorId="011EAD4D" wp14:editId="10EB055F">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BA7BFC" w14:textId="77777777" w:rsidR="006D4899" w:rsidRDefault="00000000">
                          <w:pPr>
                            <w:pStyle w:val="aa"/>
                            <w:ind w:right="2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1EAD4D" id="_x0000_t202" coordsize="21600,21600" o:spt="202" path="m,l,21600r21600,l21600,xe">
              <v:stroke joinstyle="miter"/>
              <v:path gradientshapeok="t" o:connecttype="rect"/>
            </v:shapetype>
            <v:shape id="_x0000_s1033"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BBA7BFC" w14:textId="77777777" w:rsidR="006D4899" w:rsidRDefault="00000000">
                    <w:pPr>
                      <w:pStyle w:val="aa"/>
                      <w:ind w:right="220"/>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2339BFEF" wp14:editId="798503E7">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8D5D8F" w14:textId="77777777" w:rsidR="006D4899" w:rsidRDefault="006D4899">
                          <w:pPr>
                            <w:pStyle w:val="aa"/>
                            <w:tabs>
                              <w:tab w:val="center" w:pos="4153"/>
                              <w:tab w:val="right" w:pos="8306"/>
                            </w:tabs>
                            <w:ind w:right="2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2339BFEF" id="_x0000_s1034"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78D5D8F" w14:textId="77777777" w:rsidR="006D4899" w:rsidRDefault="006D4899">
                    <w:pPr>
                      <w:pStyle w:val="aa"/>
                      <w:tabs>
                        <w:tab w:val="center" w:pos="4153"/>
                        <w:tab w:val="right" w:pos="8306"/>
                      </w:tabs>
                      <w:ind w:right="220"/>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2D8" w14:textId="77777777" w:rsidR="006D4899" w:rsidRDefault="00000000">
    <w:pPr>
      <w:pStyle w:val="aa"/>
      <w:tabs>
        <w:tab w:val="center" w:pos="4153"/>
        <w:tab w:val="right" w:pos="8306"/>
      </w:tabs>
      <w:ind w:right="220"/>
    </w:pPr>
    <w:r>
      <w:rPr>
        <w:noProof/>
        <w:lang w:eastAsia="zh-CN"/>
      </w:rPr>
      <mc:AlternateContent>
        <mc:Choice Requires="wps">
          <w:drawing>
            <wp:anchor distT="0" distB="0" distL="114300" distR="114300" simplePos="0" relativeHeight="251657728" behindDoc="0" locked="0" layoutInCell="1" allowOverlap="1" wp14:anchorId="7EF39D4A" wp14:editId="62E62122">
              <wp:simplePos x="0" y="0"/>
              <wp:positionH relativeFrom="margin">
                <wp:align>center</wp:align>
              </wp:positionH>
              <wp:positionV relativeFrom="paragraph">
                <wp:posOffset>0</wp:posOffset>
              </wp:positionV>
              <wp:extent cx="129540" cy="147955"/>
              <wp:effectExtent l="635" t="0" r="3175" b="444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7955"/>
                      </a:xfrm>
                      <a:prstGeom prst="rect">
                        <a:avLst/>
                      </a:prstGeom>
                      <a:noFill/>
                      <a:ln>
                        <a:noFill/>
                      </a:ln>
                    </wps:spPr>
                    <wps:txbx>
                      <w:txbxContent>
                        <w:p w14:paraId="7FA591B1" w14:textId="77777777" w:rsidR="006D4899" w:rsidRDefault="00000000">
                          <w:pPr>
                            <w:pStyle w:val="aa"/>
                            <w:ind w:right="220"/>
                          </w:pPr>
                          <w:r>
                            <w:fldChar w:fldCharType="begin"/>
                          </w:r>
                          <w:r>
                            <w:instrText xml:space="preserve"> PAGE  \* MERGEFORMAT </w:instrText>
                          </w:r>
                          <w:r>
                            <w:fldChar w:fldCharType="separate"/>
                          </w:r>
                          <w:r>
                            <w:t>6</w:t>
                          </w:r>
                          <w:r>
                            <w:fldChar w:fldCharType="end"/>
                          </w:r>
                        </w:p>
                      </w:txbxContent>
                    </wps:txbx>
                    <wps:bodyPr rot="0" vert="horz" wrap="square" lIns="0" tIns="0" rIns="0" bIns="0" anchor="t" anchorCtr="0" upright="1">
                      <a:noAutofit/>
                    </wps:bodyPr>
                  </wps:wsp>
                </a:graphicData>
              </a:graphic>
            </wp:anchor>
          </w:drawing>
        </mc:Choice>
        <mc:Fallback>
          <w:pict>
            <v:shapetype w14:anchorId="7EF39D4A" id="_x0000_t202" coordsize="21600,21600" o:spt="202" path="m,l,21600r21600,l21600,xe">
              <v:stroke joinstyle="miter"/>
              <v:path gradientshapeok="t" o:connecttype="rect"/>
            </v:shapetype>
            <v:shape id="Text Box 47" o:spid="_x0000_s1035" type="#_x0000_t202" style="position:absolute;left:0;text-align:left;margin-left:0;margin-top:0;width:10.2pt;height:11.65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" filled="f" stroked="f">
              <v:textbox inset="0,0,0,0">
                <w:txbxContent>
                  <w:p w14:paraId="7FA591B1" w14:textId="77777777" w:rsidR="006D4899" w:rsidRDefault="00000000">
                    <w:pPr>
                      <w:pStyle w:val="aa"/>
                      <w:ind w:right="220"/>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7160" w14:textId="77777777" w:rsidR="006D4899" w:rsidRDefault="00000000">
    <w:pPr>
      <w:pStyle w:val="a5"/>
      <w:spacing w:line="14" w:lineRule="auto"/>
      <w:rPr>
        <w:sz w:val="20"/>
      </w:rPr>
    </w:pPr>
    <w:r>
      <w:rPr>
        <w:noProof/>
        <w:lang w:eastAsia="zh-CN"/>
      </w:rPr>
      <mc:AlternateContent>
        <mc:Choice Requires="wps">
          <w:drawing>
            <wp:anchor distT="0" distB="0" distL="114300" distR="114300" simplePos="0" relativeHeight="251655680" behindDoc="0" locked="0" layoutInCell="1" allowOverlap="1" wp14:anchorId="3191FBEE" wp14:editId="487AA67D">
              <wp:simplePos x="0" y="0"/>
              <wp:positionH relativeFrom="margin">
                <wp:align>center</wp:align>
              </wp:positionH>
              <wp:positionV relativeFrom="paragraph">
                <wp:posOffset>0</wp:posOffset>
              </wp:positionV>
              <wp:extent cx="146685" cy="147955"/>
              <wp:effectExtent l="0" t="3175" r="0" b="127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7955"/>
                      </a:xfrm>
                      <a:prstGeom prst="rect">
                        <a:avLst/>
                      </a:prstGeom>
                      <a:noFill/>
                      <a:ln>
                        <a:noFill/>
                      </a:ln>
                    </wps:spPr>
                    <wps:txbx>
                      <w:txbxContent>
                        <w:p w14:paraId="4E02A969" w14:textId="77777777" w:rsidR="006D4899" w:rsidRDefault="00000000">
                          <w:pPr>
                            <w:pStyle w:val="aa"/>
                            <w:ind w:right="220"/>
                          </w:pPr>
                          <w:r>
                            <w:fldChar w:fldCharType="begin"/>
                          </w:r>
                          <w:r>
                            <w:instrText xml:space="preserve"> PAGE  \* MERGEFORMAT </w:instrText>
                          </w:r>
                          <w:r>
                            <w:fldChar w:fldCharType="separate"/>
                          </w:r>
                          <w:r>
                            <w:t>7</w:t>
                          </w:r>
                          <w:r>
                            <w:fldChar w:fldCharType="end"/>
                          </w:r>
                        </w:p>
                      </w:txbxContent>
                    </wps:txbx>
                    <wps:bodyPr rot="0" vert="horz" wrap="square" lIns="0" tIns="0" rIns="0" bIns="0" anchor="t" anchorCtr="0" upright="1">
                      <a:noAutofit/>
                    </wps:bodyPr>
                  </wps:wsp>
                </a:graphicData>
              </a:graphic>
            </wp:anchor>
          </w:drawing>
        </mc:Choice>
        <mc:Fallback>
          <w:pict>
            <v:shapetype w14:anchorId="3191FBEE" id="_x0000_t202" coordsize="21600,21600" o:spt="202" path="m,l,21600r21600,l21600,xe">
              <v:stroke joinstyle="miter"/>
              <v:path gradientshapeok="t" o:connecttype="rect"/>
            </v:shapetype>
            <v:shape id="Text Box 46" o:spid="_x0000_s1036" type="#_x0000_t202" style="position:absolute;margin-left:0;margin-top:0;width:11.55pt;height:11.65pt;z-index:2516556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" filled="f" stroked="f">
              <v:textbox inset="0,0,0,0">
                <w:txbxContent>
                  <w:p w14:paraId="4E02A969" w14:textId="77777777" w:rsidR="006D4899" w:rsidRDefault="00000000">
                    <w:pPr>
                      <w:pStyle w:val="aa"/>
                      <w:ind w:right="220"/>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3029" w14:textId="77777777" w:rsidR="006D4899" w:rsidRDefault="00000000">
    <w:pPr>
      <w:pStyle w:val="aa"/>
      <w:ind w:right="220"/>
    </w:pPr>
    <w:r>
      <w:rPr>
        <w:noProof/>
        <w:lang w:eastAsia="zh-CN"/>
      </w:rPr>
      <mc:AlternateContent>
        <mc:Choice Requires="wps">
          <w:drawing>
            <wp:anchor distT="0" distB="0" distL="114300" distR="114300" simplePos="0" relativeHeight="251658752" behindDoc="0" locked="0" layoutInCell="1" allowOverlap="1" wp14:anchorId="2451D8C3" wp14:editId="72F57206">
              <wp:simplePos x="0" y="0"/>
              <wp:positionH relativeFrom="margin">
                <wp:align>center</wp:align>
              </wp:positionH>
              <wp:positionV relativeFrom="paragraph">
                <wp:posOffset>0</wp:posOffset>
              </wp:positionV>
              <wp:extent cx="142875" cy="147955"/>
              <wp:effectExtent l="0" t="0" r="0" b="444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7955"/>
                      </a:xfrm>
                      <a:prstGeom prst="rect">
                        <a:avLst/>
                      </a:prstGeom>
                      <a:noFill/>
                      <a:ln>
                        <a:noFill/>
                      </a:ln>
                    </wps:spPr>
                    <wps:txbx>
                      <w:txbxContent>
                        <w:p w14:paraId="7B76CB0F" w14:textId="77777777" w:rsidR="006D4899" w:rsidRDefault="00000000">
                          <w:pPr>
                            <w:pStyle w:val="aa"/>
                            <w:ind w:right="220"/>
                          </w:pPr>
                          <w:r>
                            <w:fldChar w:fldCharType="begin"/>
                          </w:r>
                          <w:r>
                            <w:instrText xml:space="preserve"> PAGE  \* MERGEFORMAT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type w14:anchorId="2451D8C3" id="_x0000_t202" coordsize="21600,21600" o:spt="202" path="m,l,21600r21600,l21600,xe">
              <v:stroke joinstyle="miter"/>
              <v:path gradientshapeok="t" o:connecttype="rect"/>
            </v:shapetype>
            <v:shape id="Text Box 48" o:spid="_x0000_s1037" type="#_x0000_t202" style="position:absolute;left:0;text-align:left;margin-left:0;margin-top:0;width:11.25pt;height:11.65pt;z-index:2516587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" filled="f" stroked="f">
              <v:textbox inset="0,0,0,0">
                <w:txbxContent>
                  <w:p w14:paraId="7B76CB0F" w14:textId="77777777" w:rsidR="006D4899" w:rsidRDefault="00000000">
                    <w:pPr>
                      <w:pStyle w:val="aa"/>
                      <w:ind w:right="22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19E2" w14:textId="77777777" w:rsidR="00E6289C" w:rsidRDefault="00E6289C">
      <w:r>
        <w:separator/>
      </w:r>
    </w:p>
  </w:footnote>
  <w:footnote w:type="continuationSeparator" w:id="0">
    <w:p w14:paraId="116D4E88" w14:textId="77777777" w:rsidR="00E6289C" w:rsidRDefault="00E6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F09" w14:textId="77777777" w:rsidR="006D4899" w:rsidRDefault="006D4899">
    <w:pPr>
      <w:pStyle w:val="ab"/>
      <w:rPr>
        <w:rFonts w:ascii="黑体" w:eastAsia="黑体" w:hAnsi="黑体" w:cs="黑体"/>
        <w:sz w:val="21"/>
        <w:szCs w:val="21"/>
      </w:rPr>
    </w:pPr>
  </w:p>
  <w:p w14:paraId="7004E354" w14:textId="77777777" w:rsidR="006D4899" w:rsidRDefault="006D4899">
    <w:pPr>
      <w:pStyle w:val="ab"/>
      <w:rPr>
        <w:rFonts w:ascii="黑体" w:eastAsia="黑体" w:hAnsi="黑体" w:cs="黑体"/>
        <w:sz w:val="21"/>
        <w:szCs w:val="21"/>
      </w:rPr>
    </w:pPr>
  </w:p>
  <w:p w14:paraId="0691FF69" w14:textId="77777777" w:rsidR="006D4899" w:rsidRDefault="00000000">
    <w:pPr>
      <w:pStyle w:val="ab"/>
    </w:pPr>
    <w:r>
      <w:rPr>
        <w:rFonts w:ascii="黑体" w:eastAsia="黑体" w:hAnsi="黑体" w:cs="黑体" w:hint="eastAsia"/>
        <w:sz w:val="21"/>
        <w:szCs w:val="21"/>
      </w:rPr>
      <w:t>DB1409/TXXX—202X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2939" w14:textId="77777777" w:rsidR="006D4899" w:rsidRDefault="006D4899">
    <w:pPr>
      <w:pStyle w:val="ab"/>
      <w:rPr>
        <w:rFonts w:ascii="黑体" w:eastAsia="黑体" w:hAnsi="黑体" w:cs="黑体"/>
        <w:sz w:val="21"/>
        <w:szCs w:val="21"/>
        <w:lang w:eastAsia="zh-CN"/>
      </w:rPr>
    </w:pPr>
  </w:p>
  <w:p w14:paraId="0A776978" w14:textId="77777777" w:rsidR="006D4899" w:rsidRDefault="006D4899">
    <w:pPr>
      <w:pStyle w:val="ab"/>
      <w:rPr>
        <w:rFonts w:ascii="黑体" w:eastAsia="黑体" w:hAnsi="黑体" w:cs="黑体"/>
        <w:sz w:val="21"/>
        <w:szCs w:val="21"/>
      </w:rPr>
    </w:pPr>
  </w:p>
  <w:p w14:paraId="2215DA71" w14:textId="77777777" w:rsidR="006D4899" w:rsidRDefault="00000000">
    <w:pPr>
      <w:pStyle w:val="ab"/>
      <w:rPr>
        <w:rFonts w:ascii="黑体" w:eastAsia="黑体" w:hAnsi="黑体" w:cs="黑体"/>
        <w:sz w:val="21"/>
        <w:szCs w:val="21"/>
        <w:lang w:eastAsia="zh-CN"/>
      </w:rPr>
    </w:pPr>
    <w:r>
      <w:rPr>
        <w:rFonts w:ascii="黑体" w:eastAsia="黑体" w:hAnsi="黑体" w:cs="黑体" w:hint="eastAsia"/>
        <w:sz w:val="21"/>
        <w:szCs w:val="21"/>
      </w:rPr>
      <w:t>DB1409/T</w:t>
    </w:r>
    <w:r>
      <w:rPr>
        <w:rFonts w:ascii="黑体" w:eastAsia="黑体" w:hAnsi="黑体" w:cs="黑体" w:hint="eastAsia"/>
        <w:sz w:val="21"/>
        <w:szCs w:val="21"/>
        <w:lang w:eastAsia="zh-CN"/>
      </w:rPr>
      <w:t xml:space="preserve"> </w:t>
    </w:r>
    <w:r>
      <w:rPr>
        <w:rFonts w:ascii="黑体" w:eastAsia="黑体" w:hAnsi="黑体" w:cs="黑体" w:hint="eastAsia"/>
        <w:sz w:val="21"/>
        <w:szCs w:val="21"/>
      </w:rPr>
      <w:t>XX</w:t>
    </w:r>
    <w:r>
      <w:rPr>
        <w:rFonts w:ascii="黑体" w:eastAsia="黑体" w:hAnsi="黑体" w:cs="黑体" w:hint="eastAsia"/>
        <w:sz w:val="21"/>
        <w:szCs w:val="21"/>
        <w:lang w:eastAsia="zh-CN"/>
      </w:rPr>
      <w:t>X</w:t>
    </w:r>
    <w:r>
      <w:rPr>
        <w:rFonts w:ascii="黑体" w:eastAsia="黑体" w:hAnsi="黑体" w:cs="黑体" w:hint="eastAsia"/>
        <w:sz w:val="21"/>
        <w:szCs w:val="21"/>
      </w:rPr>
      <w:t>X—202X</w:t>
    </w:r>
  </w:p>
  <w:p w14:paraId="3B69DD38" w14:textId="77777777" w:rsidR="006D4899" w:rsidRDefault="006D4899">
    <w:pPr>
      <w:pStyle w:val="ab"/>
      <w:rPr>
        <w:rFonts w:ascii="黑体" w:eastAsia="黑体" w:hAnsi="黑体" w:cs="黑体"/>
        <w:sz w:val="21"/>
        <w:szCs w:val="21"/>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8B59" w14:textId="77777777" w:rsidR="006D4899" w:rsidRDefault="00000000">
    <w:pPr>
      <w:pStyle w:val="aff2"/>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EFEC" w14:textId="77777777" w:rsidR="006D4899" w:rsidRDefault="006D4899">
    <w:pPr>
      <w:pStyle w:val="ab"/>
      <w:rPr>
        <w:rFonts w:ascii="黑体" w:eastAsia="黑体" w:hAnsi="黑体" w:cs="黑体"/>
        <w:sz w:val="21"/>
        <w:szCs w:val="21"/>
      </w:rPr>
    </w:pPr>
  </w:p>
  <w:p w14:paraId="7787F8AA" w14:textId="77777777" w:rsidR="006D4899" w:rsidRDefault="006D4899">
    <w:pPr>
      <w:pStyle w:val="ab"/>
      <w:rPr>
        <w:rFonts w:ascii="黑体" w:eastAsia="黑体" w:hAnsi="黑体" w:cs="黑体"/>
        <w:sz w:val="21"/>
        <w:szCs w:val="21"/>
      </w:rPr>
    </w:pPr>
  </w:p>
  <w:p w14:paraId="365B79FC" w14:textId="77777777" w:rsidR="006D4899" w:rsidRDefault="00000000">
    <w:pPr>
      <w:pStyle w:val="ab"/>
      <w:rPr>
        <w:rFonts w:ascii="黑体" w:eastAsia="黑体" w:hAnsi="黑体" w:cs="黑体"/>
        <w:sz w:val="21"/>
        <w:szCs w:val="21"/>
        <w:lang w:eastAsia="zh-CN"/>
      </w:rPr>
    </w:pPr>
    <w:r>
      <w:rPr>
        <w:rFonts w:ascii="黑体" w:eastAsia="黑体" w:hAnsi="黑体" w:cs="黑体" w:hint="eastAsia"/>
        <w:sz w:val="21"/>
        <w:szCs w:val="21"/>
      </w:rPr>
      <w:t>DB1409/T</w:t>
    </w:r>
    <w:r>
      <w:rPr>
        <w:rFonts w:ascii="黑体" w:eastAsia="黑体" w:hAnsi="黑体" w:cs="黑体" w:hint="eastAsia"/>
        <w:sz w:val="21"/>
        <w:szCs w:val="21"/>
        <w:lang w:eastAsia="zh-CN"/>
      </w:rPr>
      <w:t xml:space="preserve"> </w:t>
    </w:r>
    <w:r>
      <w:rPr>
        <w:rFonts w:ascii="黑体" w:eastAsia="黑体" w:hAnsi="黑体" w:cs="黑体" w:hint="eastAsia"/>
        <w:sz w:val="21"/>
        <w:szCs w:val="21"/>
      </w:rPr>
      <w:t>XX</w:t>
    </w:r>
    <w:r>
      <w:rPr>
        <w:rFonts w:ascii="黑体" w:eastAsia="黑体" w:hAnsi="黑体" w:cs="黑体" w:hint="eastAsia"/>
        <w:sz w:val="21"/>
        <w:szCs w:val="21"/>
        <w:lang w:eastAsia="zh-CN"/>
      </w:rPr>
      <w:t>X</w:t>
    </w:r>
    <w:r>
      <w:rPr>
        <w:rFonts w:ascii="黑体" w:eastAsia="黑体" w:hAnsi="黑体" w:cs="黑体" w:hint="eastAsia"/>
        <w:sz w:val="21"/>
        <w:szCs w:val="21"/>
      </w:rPr>
      <w:t>X—202X</w:t>
    </w:r>
  </w:p>
  <w:p w14:paraId="6E63857F" w14:textId="77777777" w:rsidR="006D4899" w:rsidRDefault="006D4899">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A85D" w14:textId="77777777" w:rsidR="006D4899" w:rsidRDefault="006D4899">
    <w:pPr>
      <w:pStyle w:val="ab"/>
    </w:pPr>
  </w:p>
  <w:p w14:paraId="57AFCACE" w14:textId="77777777" w:rsidR="006D4899" w:rsidRDefault="006D4899">
    <w:pPr>
      <w:pStyle w:val="ab"/>
    </w:pPr>
  </w:p>
  <w:p w14:paraId="0E042492" w14:textId="77777777" w:rsidR="006D4899" w:rsidRDefault="006D4899">
    <w:pPr>
      <w:pStyle w:val="ab"/>
    </w:pPr>
  </w:p>
  <w:p w14:paraId="4FFB9F73" w14:textId="77777777" w:rsidR="006D4899" w:rsidRDefault="006D4899">
    <w:pPr>
      <w:pStyle w:val="ab"/>
    </w:pPr>
  </w:p>
  <w:p w14:paraId="0320D147" w14:textId="77777777" w:rsidR="006D4899" w:rsidRDefault="006D4899">
    <w:pPr>
      <w:pStyle w:val="ab"/>
    </w:pPr>
  </w:p>
  <w:p w14:paraId="1D0943BF" w14:textId="77777777" w:rsidR="006D4899" w:rsidRDefault="00000000">
    <w:pPr>
      <w:pStyle w:val="ab"/>
      <w:rPr>
        <w:rFonts w:ascii="黑体" w:eastAsia="黑体" w:hAnsi="黑体" w:cs="黑体"/>
        <w:sz w:val="21"/>
        <w:szCs w:val="21"/>
        <w:lang w:eastAsia="zh-CN"/>
      </w:rPr>
    </w:pPr>
    <w:r>
      <w:rPr>
        <w:rFonts w:ascii="黑体" w:eastAsia="黑体" w:hAnsi="黑体" w:cs="黑体" w:hint="eastAsia"/>
        <w:sz w:val="21"/>
        <w:szCs w:val="21"/>
      </w:rPr>
      <w:t>DB1409/T</w:t>
    </w:r>
    <w:r>
      <w:rPr>
        <w:rFonts w:ascii="黑体" w:eastAsia="黑体" w:hAnsi="黑体" w:cs="黑体" w:hint="eastAsia"/>
        <w:sz w:val="21"/>
        <w:szCs w:val="21"/>
        <w:lang w:eastAsia="zh-CN"/>
      </w:rPr>
      <w:t xml:space="preserve"> </w:t>
    </w:r>
    <w:r>
      <w:rPr>
        <w:rFonts w:ascii="黑体" w:eastAsia="黑体" w:hAnsi="黑体" w:cs="黑体" w:hint="eastAsia"/>
        <w:sz w:val="21"/>
        <w:szCs w:val="21"/>
      </w:rPr>
      <w:t>XX</w:t>
    </w:r>
    <w:r>
      <w:rPr>
        <w:rFonts w:ascii="黑体" w:eastAsia="黑体" w:hAnsi="黑体" w:cs="黑体" w:hint="eastAsia"/>
        <w:sz w:val="21"/>
        <w:szCs w:val="21"/>
        <w:lang w:eastAsia="zh-CN"/>
      </w:rPr>
      <w:t>X</w:t>
    </w:r>
    <w:r>
      <w:rPr>
        <w:rFonts w:ascii="黑体" w:eastAsia="黑体" w:hAnsi="黑体" w:cs="黑体" w:hint="eastAsia"/>
        <w:sz w:val="21"/>
        <w:szCs w:val="21"/>
      </w:rPr>
      <w:t>X—202X</w:t>
    </w:r>
  </w:p>
  <w:p w14:paraId="0778BDA6" w14:textId="77777777" w:rsidR="006D4899" w:rsidRDefault="006D4899">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BFD4" w14:textId="77777777" w:rsidR="006D4899" w:rsidRDefault="006D4899">
    <w:pPr>
      <w:pStyle w:val="ab"/>
    </w:pPr>
  </w:p>
  <w:p w14:paraId="4287E6E1" w14:textId="77777777" w:rsidR="006D4899" w:rsidRDefault="006D4899">
    <w:pPr>
      <w:pStyle w:val="ab"/>
    </w:pPr>
  </w:p>
  <w:p w14:paraId="72B12EC9" w14:textId="77777777" w:rsidR="006D4899" w:rsidRDefault="006D4899">
    <w:pPr>
      <w:pStyle w:val="ab"/>
    </w:pPr>
  </w:p>
  <w:p w14:paraId="125CC830" w14:textId="77777777" w:rsidR="006D4899" w:rsidRDefault="006D4899">
    <w:pPr>
      <w:pStyle w:val="ab"/>
    </w:pPr>
  </w:p>
  <w:p w14:paraId="0C7893F6" w14:textId="77777777" w:rsidR="006D4899" w:rsidRDefault="006D4899">
    <w:pPr>
      <w:pStyle w:val="ab"/>
    </w:pPr>
  </w:p>
  <w:p w14:paraId="08D0F287" w14:textId="77777777" w:rsidR="006D4899" w:rsidRDefault="00000000">
    <w:pPr>
      <w:pStyle w:val="ab"/>
      <w:ind w:firstLineChars="3500" w:firstLine="7350"/>
      <w:rPr>
        <w:rFonts w:ascii="黑体" w:eastAsia="黑体" w:hAnsi="黑体" w:cs="黑体"/>
        <w:sz w:val="21"/>
        <w:szCs w:val="21"/>
        <w:lang w:eastAsia="zh-CN"/>
      </w:rPr>
    </w:pPr>
    <w:r>
      <w:rPr>
        <w:rFonts w:ascii="黑体" w:eastAsia="黑体" w:hAnsi="黑体" w:cs="黑体" w:hint="eastAsia"/>
        <w:sz w:val="21"/>
        <w:szCs w:val="21"/>
      </w:rPr>
      <w:t>DB1409/T</w:t>
    </w:r>
    <w:r>
      <w:rPr>
        <w:rFonts w:ascii="黑体" w:eastAsia="黑体" w:hAnsi="黑体" w:cs="黑体" w:hint="eastAsia"/>
        <w:sz w:val="21"/>
        <w:szCs w:val="21"/>
        <w:lang w:eastAsia="zh-CN"/>
      </w:rPr>
      <w:t xml:space="preserve"> </w:t>
    </w:r>
    <w:r>
      <w:rPr>
        <w:rFonts w:ascii="黑体" w:eastAsia="黑体" w:hAnsi="黑体" w:cs="黑体" w:hint="eastAsia"/>
        <w:sz w:val="21"/>
        <w:szCs w:val="21"/>
      </w:rPr>
      <w:t>XX</w:t>
    </w:r>
    <w:r>
      <w:rPr>
        <w:rFonts w:ascii="黑体" w:eastAsia="黑体" w:hAnsi="黑体" w:cs="黑体" w:hint="eastAsia"/>
        <w:sz w:val="21"/>
        <w:szCs w:val="21"/>
        <w:lang w:eastAsia="zh-CN"/>
      </w:rPr>
      <w:t>X</w:t>
    </w:r>
    <w:r>
      <w:rPr>
        <w:rFonts w:ascii="黑体" w:eastAsia="黑体" w:hAnsi="黑体" w:cs="黑体" w:hint="eastAsia"/>
        <w:sz w:val="21"/>
        <w:szCs w:val="21"/>
      </w:rPr>
      <w:t>X—202X</w:t>
    </w:r>
  </w:p>
  <w:p w14:paraId="52F4D452" w14:textId="77777777" w:rsidR="006D4899" w:rsidRDefault="006D4899">
    <w:pPr>
      <w:pStyle w:val="ab"/>
      <w:jc w:val="right"/>
    </w:pPr>
  </w:p>
  <w:p w14:paraId="15823F3C" w14:textId="77777777" w:rsidR="006D4899" w:rsidRDefault="006D4899">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279F" w14:textId="77777777" w:rsidR="006D4899" w:rsidRDefault="006D4899">
    <w:pPr>
      <w:pStyle w:val="aff2"/>
    </w:pPr>
  </w:p>
  <w:p w14:paraId="3DA1E364" w14:textId="77777777" w:rsidR="006D4899" w:rsidRDefault="006D4899">
    <w:pPr>
      <w:pStyle w:val="aff2"/>
    </w:pPr>
  </w:p>
  <w:p w14:paraId="069D4B00" w14:textId="77777777" w:rsidR="006D4899" w:rsidRDefault="006D4899">
    <w:pPr>
      <w:pStyle w:val="aff2"/>
    </w:pPr>
  </w:p>
  <w:p w14:paraId="5B52E00B" w14:textId="77777777" w:rsidR="006D4899" w:rsidRDefault="006D4899">
    <w:pPr>
      <w:pStyle w:val="aff2"/>
    </w:pPr>
  </w:p>
  <w:p w14:paraId="1569E3CF" w14:textId="77777777" w:rsidR="006D4899" w:rsidRDefault="006D4899">
    <w:pPr>
      <w:pStyle w:val="aff2"/>
    </w:pPr>
  </w:p>
  <w:p w14:paraId="1A553F90" w14:textId="77777777" w:rsidR="006D4899" w:rsidRDefault="00000000">
    <w:pPr>
      <w:pStyle w:val="ab"/>
      <w:ind w:firstLineChars="3500" w:firstLine="7350"/>
      <w:rPr>
        <w:rFonts w:ascii="黑体" w:eastAsia="黑体" w:hAnsi="黑体" w:cs="黑体"/>
        <w:sz w:val="21"/>
        <w:szCs w:val="21"/>
        <w:lang w:eastAsia="zh-CN"/>
      </w:rPr>
    </w:pPr>
    <w:r>
      <w:rPr>
        <w:rFonts w:ascii="黑体" w:eastAsia="黑体" w:hAnsi="黑体" w:cs="黑体" w:hint="eastAsia"/>
        <w:sz w:val="21"/>
        <w:szCs w:val="21"/>
      </w:rPr>
      <w:t>DB1409/T</w:t>
    </w:r>
    <w:r>
      <w:rPr>
        <w:rFonts w:ascii="黑体" w:eastAsia="黑体" w:hAnsi="黑体" w:cs="黑体" w:hint="eastAsia"/>
        <w:sz w:val="21"/>
        <w:szCs w:val="21"/>
        <w:lang w:eastAsia="zh-CN"/>
      </w:rPr>
      <w:t xml:space="preserve"> </w:t>
    </w:r>
    <w:r>
      <w:rPr>
        <w:rFonts w:ascii="黑体" w:eastAsia="黑体" w:hAnsi="黑体" w:cs="黑体" w:hint="eastAsia"/>
        <w:sz w:val="21"/>
        <w:szCs w:val="21"/>
      </w:rPr>
      <w:t>XX</w:t>
    </w:r>
    <w:r>
      <w:rPr>
        <w:rFonts w:ascii="黑体" w:eastAsia="黑体" w:hAnsi="黑体" w:cs="黑体" w:hint="eastAsia"/>
        <w:sz w:val="21"/>
        <w:szCs w:val="21"/>
        <w:lang w:eastAsia="zh-CN"/>
      </w:rPr>
      <w:t>X</w:t>
    </w:r>
    <w:r>
      <w:rPr>
        <w:rFonts w:ascii="黑体" w:eastAsia="黑体" w:hAnsi="黑体" w:cs="黑体" w:hint="eastAsia"/>
        <w:sz w:val="21"/>
        <w:szCs w:val="21"/>
      </w:rPr>
      <w:t>X—202X</w:t>
    </w:r>
  </w:p>
  <w:p w14:paraId="5374361A" w14:textId="77777777" w:rsidR="006D4899" w:rsidRDefault="00000000">
    <w:pPr>
      <w:pStyle w:val="aff2"/>
      <w:jc w:val="right"/>
    </w:pPr>
    <w:r>
      <w:t xml:space="preserve"> </w:t>
    </w:r>
  </w:p>
  <w:p w14:paraId="2C4C6587" w14:textId="77777777" w:rsidR="006D4899" w:rsidRDefault="006D4899">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宋体" w:eastAsia="宋体" w:hAnsi="宋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547843426">
    <w:abstractNumId w:val="0"/>
  </w:num>
  <w:num w:numId="2" w16cid:durableId="120660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20"/>
  <w:drawingGridVerticalSpacing w:val="152"/>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hlYjcwYzAyYzM3NDg0ZDZjOGRkZmIyNDU3NzYyZDgifQ=="/>
  </w:docVars>
  <w:rsids>
    <w:rsidRoot w:val="00F27BB6"/>
    <w:rsid w:val="00054392"/>
    <w:rsid w:val="0009373E"/>
    <w:rsid w:val="00094D6D"/>
    <w:rsid w:val="0009514E"/>
    <w:rsid w:val="000B717D"/>
    <w:rsid w:val="000B78EB"/>
    <w:rsid w:val="000D016D"/>
    <w:rsid w:val="00116B03"/>
    <w:rsid w:val="001C2649"/>
    <w:rsid w:val="00213017"/>
    <w:rsid w:val="002239F2"/>
    <w:rsid w:val="00227BBC"/>
    <w:rsid w:val="002642EC"/>
    <w:rsid w:val="002835A7"/>
    <w:rsid w:val="0029204E"/>
    <w:rsid w:val="003031F7"/>
    <w:rsid w:val="003346CF"/>
    <w:rsid w:val="004C28E0"/>
    <w:rsid w:val="00515B95"/>
    <w:rsid w:val="0055730D"/>
    <w:rsid w:val="005769DE"/>
    <w:rsid w:val="00586016"/>
    <w:rsid w:val="005D5462"/>
    <w:rsid w:val="005E0993"/>
    <w:rsid w:val="00605234"/>
    <w:rsid w:val="00614705"/>
    <w:rsid w:val="0064396D"/>
    <w:rsid w:val="00651135"/>
    <w:rsid w:val="006802B0"/>
    <w:rsid w:val="006D4899"/>
    <w:rsid w:val="0071308C"/>
    <w:rsid w:val="0078768E"/>
    <w:rsid w:val="007E2092"/>
    <w:rsid w:val="0082652A"/>
    <w:rsid w:val="0087747C"/>
    <w:rsid w:val="009F2DBC"/>
    <w:rsid w:val="00A62301"/>
    <w:rsid w:val="00AE5F13"/>
    <w:rsid w:val="00B10CFB"/>
    <w:rsid w:val="00B71AD9"/>
    <w:rsid w:val="00BB061F"/>
    <w:rsid w:val="00C16846"/>
    <w:rsid w:val="00CD64D3"/>
    <w:rsid w:val="00D07B35"/>
    <w:rsid w:val="00D11E41"/>
    <w:rsid w:val="00D91CCA"/>
    <w:rsid w:val="00DE0F9E"/>
    <w:rsid w:val="00E6289C"/>
    <w:rsid w:val="00E87213"/>
    <w:rsid w:val="00E968EE"/>
    <w:rsid w:val="00EA690A"/>
    <w:rsid w:val="00EB21D8"/>
    <w:rsid w:val="00EC0596"/>
    <w:rsid w:val="00EE147D"/>
    <w:rsid w:val="00F27BB6"/>
    <w:rsid w:val="00F60C81"/>
    <w:rsid w:val="00FB72C1"/>
    <w:rsid w:val="00FC781E"/>
    <w:rsid w:val="01D13575"/>
    <w:rsid w:val="02E0453E"/>
    <w:rsid w:val="02EE3C38"/>
    <w:rsid w:val="044034E6"/>
    <w:rsid w:val="04857F98"/>
    <w:rsid w:val="05322069"/>
    <w:rsid w:val="05600E1D"/>
    <w:rsid w:val="05921A3F"/>
    <w:rsid w:val="05B64EE1"/>
    <w:rsid w:val="05F15F19"/>
    <w:rsid w:val="068F128E"/>
    <w:rsid w:val="07A1396F"/>
    <w:rsid w:val="08352553"/>
    <w:rsid w:val="085B58CB"/>
    <w:rsid w:val="0A4B367A"/>
    <w:rsid w:val="0AE86659"/>
    <w:rsid w:val="0B176412"/>
    <w:rsid w:val="0B8415DD"/>
    <w:rsid w:val="0C1C04DB"/>
    <w:rsid w:val="0C2E667E"/>
    <w:rsid w:val="0CB10D19"/>
    <w:rsid w:val="0DB054BE"/>
    <w:rsid w:val="0E252C04"/>
    <w:rsid w:val="0E9160D2"/>
    <w:rsid w:val="120945EA"/>
    <w:rsid w:val="122D1AC7"/>
    <w:rsid w:val="12647A72"/>
    <w:rsid w:val="12EF558E"/>
    <w:rsid w:val="13004B5B"/>
    <w:rsid w:val="138C4DEA"/>
    <w:rsid w:val="14BE2A1F"/>
    <w:rsid w:val="16C47836"/>
    <w:rsid w:val="16FA6503"/>
    <w:rsid w:val="17273831"/>
    <w:rsid w:val="17327509"/>
    <w:rsid w:val="174165D4"/>
    <w:rsid w:val="179943DE"/>
    <w:rsid w:val="18860353"/>
    <w:rsid w:val="19181589"/>
    <w:rsid w:val="194E0964"/>
    <w:rsid w:val="19D114AA"/>
    <w:rsid w:val="1BE45464"/>
    <w:rsid w:val="1C412F99"/>
    <w:rsid w:val="1C801B2C"/>
    <w:rsid w:val="1D4B3D09"/>
    <w:rsid w:val="1D514463"/>
    <w:rsid w:val="1D6E54E9"/>
    <w:rsid w:val="1E0C3498"/>
    <w:rsid w:val="1EB27A1A"/>
    <w:rsid w:val="20171167"/>
    <w:rsid w:val="21C30312"/>
    <w:rsid w:val="21DE15EF"/>
    <w:rsid w:val="222834F2"/>
    <w:rsid w:val="22462CF1"/>
    <w:rsid w:val="2268710B"/>
    <w:rsid w:val="22DD5403"/>
    <w:rsid w:val="22F015DA"/>
    <w:rsid w:val="262D66A1"/>
    <w:rsid w:val="273C4585"/>
    <w:rsid w:val="28774E61"/>
    <w:rsid w:val="29341AF5"/>
    <w:rsid w:val="2AF56251"/>
    <w:rsid w:val="2B427E84"/>
    <w:rsid w:val="2BA57BA0"/>
    <w:rsid w:val="2BC14126"/>
    <w:rsid w:val="2CB216AE"/>
    <w:rsid w:val="2CD15ADD"/>
    <w:rsid w:val="2D0A3299"/>
    <w:rsid w:val="2D2A2192"/>
    <w:rsid w:val="2DF00D2D"/>
    <w:rsid w:val="2E20089A"/>
    <w:rsid w:val="2EE33D6F"/>
    <w:rsid w:val="2F0D0EE7"/>
    <w:rsid w:val="30414C33"/>
    <w:rsid w:val="30FD59E9"/>
    <w:rsid w:val="318D465B"/>
    <w:rsid w:val="321B0CA6"/>
    <w:rsid w:val="325A00B5"/>
    <w:rsid w:val="32F26CA9"/>
    <w:rsid w:val="32F3657D"/>
    <w:rsid w:val="33676ECC"/>
    <w:rsid w:val="33A930DF"/>
    <w:rsid w:val="341068A3"/>
    <w:rsid w:val="343155AF"/>
    <w:rsid w:val="35B8726C"/>
    <w:rsid w:val="360F1719"/>
    <w:rsid w:val="36835E6A"/>
    <w:rsid w:val="372A4D1F"/>
    <w:rsid w:val="37A30C6F"/>
    <w:rsid w:val="37BF6161"/>
    <w:rsid w:val="37D85937"/>
    <w:rsid w:val="386D0B7F"/>
    <w:rsid w:val="38795776"/>
    <w:rsid w:val="38F344BC"/>
    <w:rsid w:val="39355B41"/>
    <w:rsid w:val="39613751"/>
    <w:rsid w:val="39C64C08"/>
    <w:rsid w:val="3A5B122B"/>
    <w:rsid w:val="3ACF20A8"/>
    <w:rsid w:val="3B4B51D4"/>
    <w:rsid w:val="3E171CB9"/>
    <w:rsid w:val="3F6727CC"/>
    <w:rsid w:val="402D6E97"/>
    <w:rsid w:val="41614FF9"/>
    <w:rsid w:val="41EC6939"/>
    <w:rsid w:val="424566C9"/>
    <w:rsid w:val="42940ED7"/>
    <w:rsid w:val="44E90F7A"/>
    <w:rsid w:val="450428D5"/>
    <w:rsid w:val="453D29FF"/>
    <w:rsid w:val="456450B8"/>
    <w:rsid w:val="45D33228"/>
    <w:rsid w:val="464E3D9E"/>
    <w:rsid w:val="47745A86"/>
    <w:rsid w:val="49060960"/>
    <w:rsid w:val="49247038"/>
    <w:rsid w:val="494B6DAF"/>
    <w:rsid w:val="4968786D"/>
    <w:rsid w:val="49F609EF"/>
    <w:rsid w:val="4A962446"/>
    <w:rsid w:val="4A9B3DF8"/>
    <w:rsid w:val="4B4C2853"/>
    <w:rsid w:val="4B9F7E44"/>
    <w:rsid w:val="4C2A6609"/>
    <w:rsid w:val="4CC502F9"/>
    <w:rsid w:val="4CF11927"/>
    <w:rsid w:val="4E4063F4"/>
    <w:rsid w:val="4EC379B9"/>
    <w:rsid w:val="4EE31744"/>
    <w:rsid w:val="50E83041"/>
    <w:rsid w:val="534931C3"/>
    <w:rsid w:val="53C563AF"/>
    <w:rsid w:val="55154DF0"/>
    <w:rsid w:val="55E24503"/>
    <w:rsid w:val="56D7393C"/>
    <w:rsid w:val="57996E43"/>
    <w:rsid w:val="57E207EA"/>
    <w:rsid w:val="589F731B"/>
    <w:rsid w:val="5AB751D0"/>
    <w:rsid w:val="5B206097"/>
    <w:rsid w:val="5B615F49"/>
    <w:rsid w:val="5BB10BFF"/>
    <w:rsid w:val="5CCD212E"/>
    <w:rsid w:val="5D053827"/>
    <w:rsid w:val="5D4F621B"/>
    <w:rsid w:val="5D5079F7"/>
    <w:rsid w:val="5E0A45F7"/>
    <w:rsid w:val="5EE260CF"/>
    <w:rsid w:val="5F03529B"/>
    <w:rsid w:val="5F70492E"/>
    <w:rsid w:val="5F8D54E0"/>
    <w:rsid w:val="600F05EB"/>
    <w:rsid w:val="602D6CC3"/>
    <w:rsid w:val="60566219"/>
    <w:rsid w:val="6098413C"/>
    <w:rsid w:val="60B51B25"/>
    <w:rsid w:val="61832153"/>
    <w:rsid w:val="61BC5442"/>
    <w:rsid w:val="621517BC"/>
    <w:rsid w:val="62353C0D"/>
    <w:rsid w:val="64E75692"/>
    <w:rsid w:val="66432D9C"/>
    <w:rsid w:val="692F1BBA"/>
    <w:rsid w:val="695110A7"/>
    <w:rsid w:val="696C59DB"/>
    <w:rsid w:val="69B3425D"/>
    <w:rsid w:val="69C90B3C"/>
    <w:rsid w:val="69C97A5C"/>
    <w:rsid w:val="6A5C0E54"/>
    <w:rsid w:val="6AE76F5A"/>
    <w:rsid w:val="6B9124B2"/>
    <w:rsid w:val="6BEC7A32"/>
    <w:rsid w:val="6C3A079D"/>
    <w:rsid w:val="6C9C1458"/>
    <w:rsid w:val="6CDC174A"/>
    <w:rsid w:val="6CE07597"/>
    <w:rsid w:val="6D8F4B19"/>
    <w:rsid w:val="6DA02882"/>
    <w:rsid w:val="6DC15605"/>
    <w:rsid w:val="6E2B34A1"/>
    <w:rsid w:val="6E414F79"/>
    <w:rsid w:val="6F874E39"/>
    <w:rsid w:val="6FB70357"/>
    <w:rsid w:val="702413FA"/>
    <w:rsid w:val="7047792D"/>
    <w:rsid w:val="71D61345"/>
    <w:rsid w:val="745D4ADD"/>
    <w:rsid w:val="751F6782"/>
    <w:rsid w:val="78AC300F"/>
    <w:rsid w:val="79201504"/>
    <w:rsid w:val="799139C7"/>
    <w:rsid w:val="7A3E1CD1"/>
    <w:rsid w:val="7A4D5631"/>
    <w:rsid w:val="7AB41653"/>
    <w:rsid w:val="7B3D3E06"/>
    <w:rsid w:val="7B850E82"/>
    <w:rsid w:val="7C9E2682"/>
    <w:rsid w:val="7CC237FE"/>
    <w:rsid w:val="7D480840"/>
    <w:rsid w:val="7D5B4307"/>
    <w:rsid w:val="7FE8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773508"/>
  <w15:docId w15:val="{0A74AD22-3F9C-4E76-B58C-BBE6F0D8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1"/>
    <w:next w:val="a1"/>
    <w:uiPriority w:val="1"/>
    <w:qFormat/>
    <w:pPr>
      <w:spacing w:before="54"/>
      <w:ind w:left="74"/>
      <w:jc w:val="center"/>
      <w:outlineLvl w:val="0"/>
    </w:pPr>
    <w:rPr>
      <w:rFonts w:ascii="黑体" w:eastAsia="黑体" w:hAnsi="黑体" w:cs="黑体"/>
      <w:sz w:val="32"/>
      <w:szCs w:val="32"/>
    </w:rPr>
  </w:style>
  <w:style w:type="paragraph" w:styleId="2">
    <w:name w:val="heading 2"/>
    <w:basedOn w:val="a1"/>
    <w:next w:val="a1"/>
    <w:uiPriority w:val="1"/>
    <w:qFormat/>
    <w:pPr>
      <w:jc w:val="center"/>
      <w:outlineLvl w:val="1"/>
    </w:pPr>
    <w:rPr>
      <w:rFonts w:ascii="黑体" w:eastAsia="黑体" w:hAnsi="黑体" w:cs="黑体"/>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uiPriority w:val="1"/>
    <w:qFormat/>
    <w:rPr>
      <w:sz w:val="21"/>
      <w:szCs w:val="21"/>
    </w:rPr>
  </w:style>
  <w:style w:type="paragraph" w:styleId="a6">
    <w:name w:val="Date"/>
    <w:basedOn w:val="a1"/>
    <w:next w:val="a1"/>
    <w:link w:val="a7"/>
    <w:qFormat/>
    <w:pPr>
      <w:ind w:leftChars="2500" w:left="100"/>
    </w:pPr>
  </w:style>
  <w:style w:type="paragraph" w:styleId="a8">
    <w:name w:val="Balloon Text"/>
    <w:basedOn w:val="a1"/>
    <w:link w:val="a9"/>
    <w:qFormat/>
    <w:rPr>
      <w:sz w:val="18"/>
      <w:szCs w:val="18"/>
    </w:rPr>
  </w:style>
  <w:style w:type="paragraph" w:styleId="aa">
    <w:name w:val="footer"/>
    <w:basedOn w:val="a1"/>
    <w:qFormat/>
    <w:pPr>
      <w:snapToGrid w:val="0"/>
      <w:ind w:rightChars="100" w:right="210"/>
      <w:jc w:val="right"/>
    </w:pPr>
    <w:rPr>
      <w:sz w:val="18"/>
      <w:szCs w:val="18"/>
    </w:rPr>
  </w:style>
  <w:style w:type="paragraph" w:styleId="ab">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c">
    <w:name w:val="Title"/>
    <w:basedOn w:val="a1"/>
    <w:uiPriority w:val="1"/>
    <w:qFormat/>
    <w:pPr>
      <w:spacing w:line="922" w:lineRule="exact"/>
      <w:ind w:left="74"/>
      <w:jc w:val="center"/>
    </w:pPr>
    <w:rPr>
      <w:rFonts w:ascii="黑体" w:eastAsia="黑体" w:hAnsi="黑体" w:cs="黑体"/>
      <w:sz w:val="72"/>
      <w:szCs w:val="72"/>
    </w:rPr>
  </w:style>
  <w:style w:type="table" w:styleId="a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2"/>
    <w:qFormat/>
    <w:rPr>
      <w:rFonts w:ascii="Times New Roman" w:eastAsia="宋体" w:hAnsi="Times New Roman"/>
      <w:sz w:val="18"/>
    </w:rPr>
  </w:style>
  <w:style w:type="character" w:styleId="af">
    <w:name w:val="Hyperlink"/>
    <w:basedOn w:val="a2"/>
    <w:semiHidden/>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1"/>
    <w:uiPriority w:val="1"/>
    <w:qFormat/>
    <w:pPr>
      <w:ind w:left="744" w:hanging="527"/>
    </w:pPr>
  </w:style>
  <w:style w:type="paragraph" w:customStyle="1" w:styleId="TableParagraph">
    <w:name w:val="Table Paragraph"/>
    <w:basedOn w:val="a1"/>
    <w:uiPriority w:val="1"/>
    <w:qFormat/>
    <w:pPr>
      <w:spacing w:before="91"/>
      <w:jc w:val="center"/>
    </w:pPr>
  </w:style>
  <w:style w:type="paragraph" w:customStyle="1" w:styleId="af1">
    <w:name w:val="封面正文"/>
    <w:qFormat/>
    <w:pPr>
      <w:jc w:val="both"/>
    </w:pPr>
  </w:style>
  <w:style w:type="paragraph" w:customStyle="1" w:styleId="af2">
    <w:name w:val="目次、标准名称标题"/>
    <w:basedOn w:val="a"/>
    <w:next w:val="af3"/>
    <w:qFormat/>
    <w:pPr>
      <w:keepNext/>
      <w:pageBreakBefore/>
      <w:spacing w:line="460" w:lineRule="exact"/>
    </w:pPr>
  </w:style>
  <w:style w:type="paragraph" w:customStyle="1" w:styleId="a">
    <w:name w:val="前言、引言标题"/>
    <w:next w:val="a1"/>
    <w:qFormat/>
    <w:pPr>
      <w:numPr>
        <w:numId w:val="1"/>
      </w:numPr>
      <w:shd w:val="clear" w:color="FFFFFF" w:fill="FFFFFF"/>
      <w:spacing w:before="640" w:after="560"/>
      <w:jc w:val="center"/>
      <w:outlineLvl w:val="0"/>
    </w:pPr>
    <w:rPr>
      <w:rFonts w:ascii="黑体" w:eastAsia="黑体"/>
      <w:sz w:val="32"/>
    </w:rPr>
  </w:style>
  <w:style w:type="paragraph" w:customStyle="1" w:styleId="af3">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4">
    <w:name w:val="其他发布部门"/>
    <w:basedOn w:val="af5"/>
    <w:qFormat/>
    <w:pPr>
      <w:framePr w:wrap="around" w:y="15310"/>
      <w:spacing w:line="0" w:lineRule="atLeast"/>
    </w:pPr>
    <w:rPr>
      <w:rFonts w:ascii="黑体" w:eastAsia="黑体"/>
      <w:b w:val="0"/>
    </w:rPr>
  </w:style>
  <w:style w:type="paragraph" w:customStyle="1" w:styleId="af5">
    <w:name w:val="发布部门"/>
    <w:next w:val="af3"/>
    <w:qFormat/>
    <w:pPr>
      <w:framePr w:w="7938" w:h="1134" w:hRule="exact" w:hSpace="125" w:vSpace="181" w:wrap="around" w:vAnchor="page" w:hAnchor="page" w:x="2150" w:y="14630" w:anchorLock="1"/>
      <w:jc w:val="center"/>
    </w:pPr>
    <w:rPr>
      <w:rFonts w:ascii="宋体"/>
      <w:b/>
      <w:spacing w:val="20"/>
      <w:w w:val="135"/>
      <w:sz w:val="28"/>
    </w:rPr>
  </w:style>
  <w:style w:type="character" w:customStyle="1" w:styleId="af6">
    <w:name w:val="发布"/>
    <w:basedOn w:val="a2"/>
    <w:qFormat/>
    <w:rPr>
      <w:rFonts w:ascii="黑体" w:eastAsia="黑体"/>
      <w:spacing w:val="85"/>
      <w:w w:val="100"/>
      <w:position w:val="3"/>
      <w:sz w:val="28"/>
      <w:szCs w:val="28"/>
    </w:rPr>
  </w:style>
  <w:style w:type="paragraph" w:customStyle="1" w:styleId="af7">
    <w:name w:val="实施日期"/>
    <w:basedOn w:val="af8"/>
    <w:qFormat/>
    <w:pPr>
      <w:framePr w:wrap="around" w:vAnchor="page" w:hAnchor="text"/>
      <w:jc w:val="right"/>
    </w:pPr>
  </w:style>
  <w:style w:type="paragraph" w:customStyle="1" w:styleId="af8">
    <w:name w:val="发布日期"/>
    <w:qFormat/>
    <w:pPr>
      <w:framePr w:w="3997" w:h="471" w:hRule="exact" w:vSpace="181" w:wrap="around" w:hAnchor="page" w:x="7089" w:y="14097" w:anchorLock="1"/>
    </w:pPr>
    <w:rPr>
      <w:rFonts w:eastAsia="黑体"/>
      <w:sz w:val="28"/>
    </w:rPr>
  </w:style>
  <w:style w:type="paragraph" w:customStyle="1" w:styleId="af9">
    <w:name w:val="封面一致性程度标识"/>
    <w:basedOn w:val="afa"/>
    <w:qFormat/>
    <w:pPr>
      <w:framePr w:wrap="around"/>
      <w:spacing w:before="440"/>
    </w:pPr>
    <w:rPr>
      <w:rFonts w:ascii="宋体" w:eastAsia="宋体"/>
    </w:rPr>
  </w:style>
  <w:style w:type="paragraph" w:customStyle="1" w:styleId="afa">
    <w:name w:val="封面标准英文名称"/>
    <w:basedOn w:val="afb"/>
    <w:qFormat/>
    <w:pPr>
      <w:framePr w:wrap="around"/>
      <w:spacing w:before="370" w:line="400" w:lineRule="exact"/>
    </w:pPr>
    <w:rPr>
      <w:rFonts w:ascii="Times New Roman"/>
      <w:sz w:val="28"/>
      <w:szCs w:val="28"/>
    </w:rPr>
  </w:style>
  <w:style w:type="paragraph" w:customStyle="1" w:styleId="a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c">
    <w:name w:val="封面标准文稿编辑信息"/>
    <w:basedOn w:val="afd"/>
    <w:qFormat/>
    <w:pPr>
      <w:framePr w:wrap="around"/>
      <w:spacing w:before="180" w:line="180" w:lineRule="exact"/>
    </w:pPr>
    <w:rPr>
      <w:sz w:val="21"/>
    </w:rPr>
  </w:style>
  <w:style w:type="paragraph" w:customStyle="1" w:styleId="afd">
    <w:name w:val="封面标准文稿类别"/>
    <w:basedOn w:val="af9"/>
    <w:qFormat/>
    <w:pPr>
      <w:framePr w:wrap="around"/>
      <w:spacing w:after="160" w:line="240" w:lineRule="auto"/>
    </w:pPr>
    <w:rPr>
      <w:sz w:val="24"/>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e">
    <w:name w:val="标准标志"/>
    <w:next w:val="a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
    <w:name w:val="其他标准称谓"/>
    <w:next w:val="a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1">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aff2">
    <w:name w:val="标准书眉一"/>
    <w:qFormat/>
    <w:pPr>
      <w:jc w:val="both"/>
    </w:pPr>
  </w:style>
  <w:style w:type="paragraph" w:customStyle="1" w:styleId="aff3">
    <w:name w:val="标准书脚_奇数页"/>
    <w:qFormat/>
    <w:pPr>
      <w:spacing w:before="120"/>
      <w:ind w:right="198"/>
      <w:jc w:val="right"/>
    </w:pPr>
    <w:rPr>
      <w:rFonts w:ascii="宋体"/>
      <w:sz w:val="18"/>
      <w:szCs w:val="18"/>
    </w:rPr>
  </w:style>
  <w:style w:type="paragraph" w:customStyle="1" w:styleId="a0">
    <w:name w:val="章标题"/>
    <w:next w:val="af3"/>
    <w:qFormat/>
    <w:pPr>
      <w:numPr>
        <w:numId w:val="2"/>
      </w:numPr>
      <w:spacing w:beforeLines="100" w:before="312" w:afterLines="100" w:after="312"/>
      <w:jc w:val="both"/>
      <w:outlineLvl w:val="1"/>
    </w:pPr>
    <w:rPr>
      <w:rFonts w:ascii="黑体" w:eastAsia="黑体" w:hAnsi="Calibri"/>
      <w:sz w:val="21"/>
    </w:rPr>
  </w:style>
  <w:style w:type="paragraph" w:customStyle="1" w:styleId="WPSOffice1">
    <w:name w:val="WPSOffice手动目录 1"/>
    <w:qFormat/>
  </w:style>
  <w:style w:type="character" w:customStyle="1" w:styleId="a9">
    <w:name w:val="批注框文本 字符"/>
    <w:basedOn w:val="a2"/>
    <w:link w:val="a8"/>
    <w:qFormat/>
    <w:rPr>
      <w:rFonts w:ascii="宋体" w:hAnsi="宋体" w:cs="宋体"/>
      <w:sz w:val="18"/>
      <w:szCs w:val="18"/>
      <w:lang w:eastAsia="en-US"/>
    </w:rPr>
  </w:style>
  <w:style w:type="character" w:customStyle="1" w:styleId="a7">
    <w:name w:val="日期 字符"/>
    <w:basedOn w:val="a2"/>
    <w:link w:val="a6"/>
    <w:qFormat/>
    <w:rPr>
      <w:rFonts w:ascii="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td.samr.gov.cn/gb/search/gbDetailed?id=71F772D77F53D3A7E05397BE0A0AB82A" TargetMode="Externa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baike.so.com/doc/6972825-719551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baike.so.com/doc/3584124-3768852.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62964-D8A5-4B68-A8B8-686A4879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王 国华</cp:lastModifiedBy>
  <cp:revision>2</cp:revision>
  <cp:lastPrinted>2022-02-21T00:48:00Z</cp:lastPrinted>
  <dcterms:created xsi:type="dcterms:W3CDTF">2023-07-03T07:45:00Z</dcterms:created>
  <dcterms:modified xsi:type="dcterms:W3CDTF">2023-07-03T07:45:00Z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Word 2010</vt:lpwstr>
  </property>
  <property fmtid="{D5CDD505-2E9C-101B-9397-08002B2CF9AE}" pid="4" name="LastSaved">
    <vt:filetime>2021-03-07T00:00:00Z</vt:filetime>
  </property>
  <property fmtid="{D5CDD505-2E9C-101B-9397-08002B2CF9AE}" pid="5" name="KSOProductBuildVer">
    <vt:lpwstr>2052-11.1.0.14036</vt:lpwstr>
  </property>
  <property fmtid="{D5CDD505-2E9C-101B-9397-08002B2CF9AE}" pid="6" name="ICV">
    <vt:lpwstr>5B820BC5588E4C3FA70B1B07321BDE39</vt:lpwstr>
  </property>
</Properties>
</file>