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bdr w:val="none" w:color="auto" w:sz="0" w:space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bdr w:val="none" w:color="auto" w:sz="0" w:space="0"/>
          <w:lang w:val="en-US" w:eastAsia="zh-CN"/>
        </w:rPr>
        <w:t>救济渠道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1.当事人对本局实施的行政执法行为，依法享有陈述权和申辩权，应当在收到行政处罚告知书之日起3日内进行陈述、申辩，逾期的视为放弃。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2.在本局作出具体行政行为之前，依法符合听证条件的，当事人有权要求听证，应当在收到行政处罚告知书之日起3日内依法提出听证要求，逾期的视为放弃。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3.当事人对本局的具体行政行为不服的，可以依法在收到决定书之日起60日内向</w:t>
      </w:r>
      <w:r>
        <w:rPr>
          <w:rFonts w:hint="eastAsia" w:ascii="仿宋_GB2312" w:hAnsi="黑体" w:eastAsia="仿宋_GB2312"/>
          <w:sz w:val="32"/>
          <w:szCs w:val="32"/>
        </w:rPr>
        <w:t>忻州市人民政府或山西省市场监督管理局申请行政复议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4.当事人对本局的具体行政行为不服的，可以依法在收到决定书之日起6个月内</w:t>
      </w:r>
      <w:r>
        <w:rPr>
          <w:rFonts w:hint="eastAsia" w:ascii="仿宋_GB2312" w:hAnsi="黑体" w:eastAsia="仿宋_GB2312"/>
          <w:sz w:val="32"/>
          <w:szCs w:val="32"/>
        </w:rPr>
        <w:t>向有管辖权的人民法院提起行政诉讼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</w:rPr>
        <w:t>，法律另有规定的除外。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54D72"/>
    <w:rsid w:val="0C1F4169"/>
    <w:rsid w:val="17826D16"/>
    <w:rsid w:val="192D194C"/>
    <w:rsid w:val="1FC8076C"/>
    <w:rsid w:val="25A70F2A"/>
    <w:rsid w:val="37A56CB2"/>
    <w:rsid w:val="417001D2"/>
    <w:rsid w:val="44934906"/>
    <w:rsid w:val="49943B81"/>
    <w:rsid w:val="4D3F3403"/>
    <w:rsid w:val="51721055"/>
    <w:rsid w:val="6D204035"/>
    <w:rsid w:val="72FB5AF2"/>
    <w:rsid w:val="756C4CFE"/>
    <w:rsid w:val="79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DELL-PC</dc:creator>
  <cp:lastModifiedBy>DELL-PC</cp:lastModifiedBy>
  <dcterms:modified xsi:type="dcterms:W3CDTF">2020-10-30T03:08:13Z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